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sz w:val="36"/>
        </w:rPr>
      </w:pPr>
      <w:r>
        <w:rPr>
          <w:rFonts w:hint="eastAsia" w:ascii="宋体" w:hAnsi="宋体" w:cs="宋体"/>
          <w:sz w:val="36"/>
        </w:rPr>
      </w:r>
      <w:r/>
    </w:p>
    <w:p>
      <w:pPr>
        <w:jc w:val="right"/>
        <w:rPr>
          <w:rFonts w:hint="eastAsia" w:ascii="宋体" w:hAnsi="宋体" w:eastAsia="宋体" w:cs="宋体"/>
          <w:b/>
          <w:bCs/>
          <w:sz w:val="36"/>
          <w:lang w:eastAsia="zh-CN"/>
        </w:rPr>
      </w:pPr>
      <w:r>
        <w:rPr>
          <w:rFonts w:hint="eastAsia" w:ascii="宋体" w:hAnsi="宋体" w:cs="宋体"/>
          <w:b/>
          <w:bCs/>
          <w:sz w:val="36"/>
        </w:rPr>
        <w:t xml:space="preserve">编号：</w:t>
      </w:r>
      <w:r>
        <w:rPr>
          <w:rFonts w:hint="eastAsia" w:ascii="宋体" w:hAnsi="宋体" w:cs="宋体"/>
          <w:b/>
          <w:bCs/>
          <w:sz w:val="36"/>
          <w:lang w:eastAsia="zh-CN"/>
        </w:rPr>
        <w:t xml:space="preserve">JSZC-321000-SWGC-G2025-0240号</w:t>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pacing w:val="-17"/>
          <w:sz w:val="36"/>
        </w:rPr>
      </w:pPr>
      <w:r>
        <w:rPr>
          <w:rFonts w:hint="eastAsia" w:ascii="宋体" w:hAnsi="宋体" w:cs="宋体"/>
          <w:b/>
          <w:bCs/>
          <w:spacing w:val="-17"/>
          <w:sz w:val="36"/>
        </w:rPr>
        <w:t xml:space="preserve">江苏省苏北人民医院ICU数智化管理系统项目</w:t>
      </w:r>
      <w:r/>
    </w:p>
    <w:p>
      <w:pPr>
        <w:jc w:val="center"/>
        <w:rPr>
          <w:rFonts w:hint="eastAsia" w:ascii="宋体" w:hAnsi="宋体" w:cs="宋体"/>
          <w:b/>
          <w:bCs/>
          <w:sz w:val="36"/>
        </w:rPr>
      </w:pPr>
      <w:r>
        <w:rPr>
          <w:rFonts w:hint="eastAsia" w:ascii="宋体" w:hAnsi="宋体" w:cs="宋体"/>
          <w:b/>
          <w:bCs/>
          <w:sz w:val="36"/>
        </w:rPr>
        <w:t xml:space="preserve">公开招标文件</w:t>
      </w:r>
      <w:r/>
    </w:p>
    <w:p>
      <w:pPr>
        <w:pStyle w:val="936"/>
        <w:rPr>
          <w:rFonts w:hint="eastAsia" w:ascii="宋体" w:hAnsi="宋体" w:eastAsia="宋体" w:cs="宋体"/>
        </w:rPr>
      </w:pPr>
      <w:r>
        <w:rPr>
          <w:rFonts w:hint="eastAsia" w:ascii="宋体" w:hAnsi="宋体" w:eastAsia="宋体" w:cs="宋体"/>
        </w:rPr>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sz w:val="36"/>
        </w:rPr>
      </w:pPr>
      <w:r>
        <w:rPr>
          <w:rFonts w:hint="eastAsia" w:ascii="宋体" w:hAnsi="宋体" w:cs="宋体"/>
          <w:sz w:val="36"/>
        </w:rPr>
        <mc:AlternateContent>
          <mc:Choice Requires="wpg">
            <w:drawing>
              <wp:inline xmlns:wp="http://schemas.openxmlformats.org/drawingml/2006/wordprocessingDrawing" distT="0" distB="0" distL="0" distR="0">
                <wp:extent cx="5266690" cy="32410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3" o:title=""/>
              </v:shape>
            </w:pict>
          </mc:Fallback>
        </mc:AlternateContent>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t xml:space="preserve">江苏苏维工程管理有限公司</w:t>
      </w:r>
      <w:r/>
    </w:p>
    <w:p>
      <w:pPr>
        <w:jc w:val="center"/>
        <w:rPr>
          <w:rFonts w:hint="eastAsia" w:ascii="宋体" w:hAnsi="宋体" w:cs="宋体"/>
          <w:b/>
          <w:bCs/>
          <w:sz w:val="36"/>
        </w:rPr>
      </w:pPr>
      <w:r>
        <w:rPr>
          <w:rFonts w:hint="eastAsia" w:ascii="宋体" w:hAnsi="宋体" w:cs="宋体"/>
          <w:b/>
          <w:bCs/>
          <w:sz w:val="36"/>
        </w:rPr>
        <w:t xml:space="preserve">2025年</w:t>
      </w:r>
      <w:r>
        <w:rPr>
          <w:rFonts w:hint="eastAsia" w:ascii="宋体" w:hAnsi="宋体" w:cs="宋体"/>
          <w:b/>
          <w:bCs/>
          <w:sz w:val="36"/>
          <w:lang w:val="en-US" w:eastAsia="zh-CN"/>
        </w:rPr>
        <w:t xml:space="preserve">11</w:t>
      </w:r>
      <w:r>
        <w:rPr>
          <w:rFonts w:hint="eastAsia" w:ascii="宋体" w:hAnsi="宋体" w:cs="宋体"/>
          <w:b/>
          <w:bCs/>
          <w:sz w:val="36"/>
        </w:rPr>
        <w:t xml:space="preserve">月</w:t>
      </w:r>
      <w:r>
        <w:rPr>
          <w:rFonts w:hint="eastAsia" w:ascii="宋体" w:hAnsi="宋体" w:cs="宋体"/>
          <w:b/>
          <w:bCs/>
          <w:sz w:val="36"/>
          <w:lang w:val="en-US" w:eastAsia="zh-CN"/>
        </w:rPr>
        <w:t xml:space="preserve">20</w:t>
      </w:r>
      <w:r>
        <w:rPr>
          <w:rFonts w:hint="eastAsia" w:ascii="宋体" w:hAnsi="宋体" w:cs="宋体"/>
          <w:b/>
          <w:bCs/>
          <w:sz w:val="36"/>
        </w:rPr>
        <w:t xml:space="preserve">日</w:t>
      </w:r>
      <w:r/>
    </w:p>
    <w:p>
      <w:pPr>
        <w:jc w:val="center"/>
        <w:rPr>
          <w:rFonts w:hint="eastAsia" w:ascii="宋体" w:hAnsi="宋体" w:cs="宋体"/>
          <w:sz w:val="32"/>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32"/>
        </w:rPr>
      </w:r>
      <w:r/>
    </w:p>
    <w:p>
      <w:pPr>
        <w:pStyle w:val="947"/>
        <w:rPr>
          <w:rFonts w:hint="eastAsia" w:ascii="宋体" w:hAnsi="宋体" w:cs="宋体"/>
        </w:rPr>
      </w:pPr>
      <w:r>
        <w:rPr>
          <w:rFonts w:hint="eastAsia" w:ascii="宋体" w:hAnsi="宋体" w:cs="宋体"/>
        </w:rPr>
      </w:r>
      <w:r/>
    </w:p>
    <w:p>
      <w:pPr>
        <w:jc w:val="center"/>
        <w:spacing w:line="480" w:lineRule="auto"/>
        <w:rPr>
          <w:rFonts w:hint="eastAsia" w:ascii="宋体" w:hAnsi="宋体" w:cs="宋体"/>
          <w:sz w:val="32"/>
        </w:rPr>
      </w:pPr>
      <w:r>
        <w:rPr>
          <w:rFonts w:hint="eastAsia" w:ascii="宋体" w:hAnsi="宋体" w:cs="宋体"/>
          <w:sz w:val="32"/>
        </w:rPr>
        <w:t xml:space="preserve">目 录</w:t>
      </w:r>
      <w:r/>
    </w:p>
    <w:p>
      <w:pPr>
        <w:pStyle w:val="766"/>
        <w:tabs>
          <w:tab w:val="right" w:pos="8306" w:leader="dot"/>
        </w:tabs>
      </w:pPr>
      <w:r>
        <w:rPr>
          <w:rFonts w:hint="eastAsia" w:ascii="宋体" w:hAnsi="宋体" w:cs="宋体"/>
          <w:szCs w:val="21"/>
        </w:rPr>
        <w:fldChar w:fldCharType="begin"/>
      </w:r>
      <w:r>
        <w:rPr>
          <w:rFonts w:hint="eastAsia" w:ascii="宋体" w:hAnsi="宋体" w:cs="宋体"/>
          <w:szCs w:val="21"/>
        </w:rPr>
        <w:instrText xml:space="preserve"> TOC \o "1-3" \f </w:instrText>
      </w:r>
      <w:r>
        <w:rPr>
          <w:rFonts w:hint="eastAsia" w:ascii="宋体" w:hAnsi="宋体" w:cs="宋体"/>
          <w:szCs w:val="21"/>
        </w:rPr>
        <w:fldChar w:fldCharType="separate"/>
      </w:r>
      <w:r>
        <w:rPr>
          <w:rFonts w:hint="eastAsia"/>
        </w:rPr>
        <w:t xml:space="preserve">第一章 采购公告</w:t>
      </w:r>
      <w:r>
        <w:tab/>
      </w:r>
      <w:r>
        <w:fldChar w:fldCharType="begin"/>
      </w:r>
      <w:r>
        <w:instrText xml:space="preserve"> PAGEREF _Toc30208 \h </w:instrText>
      </w:r>
      <w:r>
        <w:fldChar w:fldCharType="separate"/>
      </w:r>
      <w:r>
        <w:t xml:space="preserve">2</w:t>
      </w:r>
      <w:r>
        <w:fldChar w:fldCharType="end"/>
      </w:r>
      <w:r/>
    </w:p>
    <w:p>
      <w:pPr>
        <w:pStyle w:val="766"/>
        <w:tabs>
          <w:tab w:val="right" w:pos="8306" w:leader="dot"/>
        </w:tabs>
      </w:pPr>
      <w:r>
        <w:rPr>
          <w:rFonts w:hint="eastAsia"/>
        </w:rPr>
        <w:t xml:space="preserve">第二章 投标人须知</w:t>
      </w:r>
      <w:r>
        <w:tab/>
      </w:r>
      <w:r>
        <w:fldChar w:fldCharType="begin"/>
      </w:r>
      <w:r>
        <w:instrText xml:space="preserve"> PAGEREF _Toc10032 \h </w:instrText>
      </w:r>
      <w:r>
        <w:fldChar w:fldCharType="separate"/>
      </w:r>
      <w:r>
        <w:t xml:space="preserve">5</w:t>
      </w:r>
      <w:r>
        <w:fldChar w:fldCharType="end"/>
      </w:r>
      <w:r/>
    </w:p>
    <w:p>
      <w:pPr>
        <w:pStyle w:val="766"/>
        <w:tabs>
          <w:tab w:val="right" w:pos="8306" w:leader="dot"/>
        </w:tabs>
      </w:pPr>
      <w:r>
        <w:rPr>
          <w:rFonts w:hint="eastAsia"/>
        </w:rPr>
        <w:t xml:space="preserve">第三章 合同条款及格式</w:t>
      </w:r>
      <w:r>
        <w:tab/>
      </w:r>
      <w:r>
        <w:fldChar w:fldCharType="begin"/>
      </w:r>
      <w:r>
        <w:instrText xml:space="preserve"> PAGEREF _Toc18427 \h </w:instrText>
      </w:r>
      <w:r>
        <w:fldChar w:fldCharType="separate"/>
      </w:r>
      <w:r>
        <w:t xml:space="preserve">16</w:t>
      </w:r>
      <w:r>
        <w:fldChar w:fldCharType="end"/>
      </w:r>
      <w:r/>
    </w:p>
    <w:p>
      <w:pPr>
        <w:pStyle w:val="766"/>
        <w:tabs>
          <w:tab w:val="right" w:pos="8306" w:leader="dot"/>
        </w:tabs>
      </w:pPr>
      <w:r>
        <w:rPr>
          <w:rFonts w:hint="eastAsia"/>
        </w:rPr>
        <w:t xml:space="preserve">第四章 项目需求</w:t>
      </w:r>
      <w:r>
        <w:tab/>
      </w:r>
      <w:r>
        <w:fldChar w:fldCharType="begin"/>
      </w:r>
      <w:r>
        <w:instrText xml:space="preserve"> PAGEREF _Toc12506 \h </w:instrText>
      </w:r>
      <w:r>
        <w:fldChar w:fldCharType="separate"/>
      </w:r>
      <w:r>
        <w:t xml:space="preserve">21</w:t>
      </w:r>
      <w:r>
        <w:fldChar w:fldCharType="end"/>
      </w:r>
      <w:r/>
    </w:p>
    <w:p>
      <w:pPr>
        <w:pStyle w:val="766"/>
        <w:tabs>
          <w:tab w:val="right" w:pos="8306" w:leader="dot"/>
        </w:tabs>
      </w:pPr>
      <w:r>
        <w:rPr>
          <w:rFonts w:hint="eastAsia"/>
        </w:rPr>
        <w:t xml:space="preserve">第五章 评标方法及评标标准</w:t>
      </w:r>
      <w:r>
        <w:tab/>
      </w:r>
      <w:r>
        <w:fldChar w:fldCharType="begin"/>
      </w:r>
      <w:r>
        <w:instrText xml:space="preserve"> PAGEREF _Toc29995 \h </w:instrText>
      </w:r>
      <w:r>
        <w:fldChar w:fldCharType="separate"/>
      </w:r>
      <w:r>
        <w:t xml:space="preserve">32</w:t>
      </w:r>
      <w:r>
        <w:fldChar w:fldCharType="end"/>
      </w:r>
      <w:r/>
    </w:p>
    <w:p>
      <w:pPr>
        <w:pStyle w:val="766"/>
        <w:tabs>
          <w:tab w:val="right" w:pos="8306" w:leader="dot"/>
        </w:tabs>
      </w:pPr>
      <w:r>
        <w:rPr>
          <w:rFonts w:hint="eastAsia"/>
        </w:rPr>
        <w:t xml:space="preserve">第六章 投标文件格式</w:t>
      </w:r>
      <w:r>
        <w:tab/>
      </w:r>
      <w:r>
        <w:fldChar w:fldCharType="begin"/>
      </w:r>
      <w:r>
        <w:instrText xml:space="preserve"> PAGEREF _Toc18779 \h </w:instrText>
      </w:r>
      <w:r>
        <w:fldChar w:fldCharType="separate"/>
      </w:r>
      <w:r>
        <w:t xml:space="preserve">36</w:t>
      </w:r>
      <w:r>
        <w:fldChar w:fldCharType="end"/>
      </w:r>
      <w:r/>
    </w:p>
    <w:p>
      <w:pPr>
        <w:pStyle w:val="772"/>
        <w:tabs>
          <w:tab w:val="right" w:pos="8306" w:leader="dot"/>
        </w:tabs>
      </w:pPr>
      <w:r/>
      <w:r/>
    </w:p>
    <w:p>
      <w:pPr>
        <w:spacing w:line="360" w:lineRule="auto"/>
        <w:rPr>
          <w:rFonts w:hint="eastAsia" w:ascii="宋体" w:hAnsi="宋体" w:cs="宋体"/>
          <w:szCs w:val="21"/>
        </w:rPr>
      </w:pPr>
      <w:r>
        <w:rPr>
          <w:rFonts w:hint="eastAsia" w:ascii="宋体" w:hAnsi="宋体" w:cs="宋体"/>
          <w:szCs w:val="21"/>
        </w:rPr>
        <w:fldChar w:fldCharType="end"/>
      </w:r>
      <w:r/>
    </w:p>
    <w:p>
      <w:pPr>
        <w:spacing w:line="360" w:lineRule="auto"/>
        <w:rPr>
          <w:rFonts w:hint="eastAsia" w:ascii="宋体" w:hAnsi="宋体" w:cs="宋体"/>
        </w:rPr>
      </w:pPr>
      <w:r>
        <w:rPr>
          <w:rFonts w:hint="eastAsia" w:ascii="宋体" w:hAnsi="宋体" w:cs="宋体"/>
          <w:sz w:val="28"/>
        </w:rPr>
        <w:br w:type="page" w:clear="all"/>
      </w:r>
      <w:r/>
    </w:p>
    <w:p>
      <w:pPr>
        <w:pStyle w:val="744"/>
      </w:pPr>
      <w:r/>
      <w:bookmarkStart w:id="0" w:name="_Toc30208"/>
      <w:r/>
      <w:bookmarkStart w:id="1" w:name="_Toc55204177"/>
      <w:r>
        <w:rPr>
          <w:rFonts w:hint="eastAsia"/>
        </w:rPr>
        <w:t xml:space="preserve">第一章 </w:t>
      </w:r>
      <w:bookmarkEnd w:id="0"/>
      <w:r/>
      <w:bookmarkStart w:id="2" w:name="_Toc27417"/>
      <w:r>
        <w:rPr>
          <w:rFonts w:hint="eastAsia"/>
        </w:rPr>
        <w:t xml:space="preserve">采购公告</w:t>
      </w:r>
      <w:bookmarkEnd w:id="1"/>
      <w:r/>
      <w:bookmarkEnd w:id="2"/>
      <w:r/>
      <w:r/>
    </w:p>
    <w:p>
      <w:pPr>
        <w:ind w:firstLine="420"/>
        <w:jc w:val="left"/>
        <w:spacing w:line="360" w:lineRule="auto"/>
        <w:tabs>
          <w:tab w:val="left" w:pos="266" w:leader="none"/>
        </w:tabs>
        <w:rPr>
          <w:rFonts w:hint="eastAsia" w:ascii="宋体" w:hAnsi="宋体" w:cs="宋体"/>
          <w:szCs w:val="21"/>
        </w:rPr>
      </w:pPr>
      <w:r>
        <w:rPr>
          <w:rFonts w:hint="eastAsia" w:ascii="宋体" w:hAnsi="宋体" w:cs="宋体"/>
        </w:rPr>
        <w:t xml:space="preserve">受江苏省苏北人民医院的委托，江苏苏维工程管理有限公司就江苏省苏北人民医院ICU数智化管理系统项目(</w:t>
      </w:r>
      <w:r>
        <w:rPr>
          <w:rFonts w:hint="eastAsia" w:ascii="宋体" w:hAnsi="宋体" w:cs="宋体"/>
          <w:szCs w:val="21"/>
          <w:lang w:eastAsia="zh-CN"/>
        </w:rPr>
        <w:t xml:space="preserve">JSZC-321000-SWGC-G2025-0240号</w:t>
      </w:r>
      <w:r>
        <w:rPr>
          <w:rFonts w:hint="eastAsia" w:ascii="宋体" w:hAnsi="宋体" w:cs="宋体"/>
        </w:rPr>
        <w:t xml:space="preserve">)进行公开招标采购，欢迎符合条件的供应商投标。</w:t>
      </w:r>
      <w:r/>
    </w:p>
    <w:p>
      <w:pPr>
        <w:ind w:firstLine="422"/>
        <w:spacing w:line="360" w:lineRule="auto"/>
        <w:rPr>
          <w:rFonts w:hint="eastAsia"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江苏省苏北人民医院ICU数智化管理系统项目</w:t>
      </w:r>
      <w:r>
        <w:rPr>
          <w:rFonts w:hint="eastAsia" w:ascii="宋体" w:hAnsi="宋体" w:cs="宋体"/>
        </w:rPr>
        <w:t xml:space="preserve">的潜在投标人可在</w:t>
      </w:r>
      <w:r>
        <w:rPr>
          <w:rFonts w:hint="eastAsia" w:ascii="宋体" w:hAnsi="宋体" w:cs="宋体"/>
          <w:u w:val="single"/>
        </w:rPr>
        <w:t xml:space="preserve">“扬州市政府采购网”、“江苏政府采购网”和“中国政府采购网”自行免费下载</w:t>
      </w:r>
      <w:r>
        <w:rPr>
          <w:rFonts w:hint="eastAsia" w:ascii="宋体" w:hAnsi="宋体" w:cs="宋体"/>
        </w:rPr>
        <w:t xml:space="preserve">招标文件，并于</w:t>
      </w:r>
      <w:r>
        <w:rPr>
          <w:rFonts w:hint="eastAsia" w:ascii="宋体" w:hAnsi="宋体" w:cs="宋体"/>
          <w:bCs/>
          <w:u w:val="single"/>
        </w:rPr>
        <w:t xml:space="preserve">2025年</w:t>
      </w:r>
      <w:r>
        <w:rPr>
          <w:rFonts w:hint="eastAsia" w:ascii="宋体" w:hAnsi="宋体" w:cs="宋体"/>
          <w:bCs/>
          <w:u w:val="single"/>
          <w:lang w:val="en-US" w:eastAsia="zh-CN"/>
        </w:rPr>
        <w:t xml:space="preserve">12</w:t>
      </w:r>
      <w:r>
        <w:rPr>
          <w:rFonts w:hint="eastAsia" w:ascii="宋体" w:hAnsi="宋体" w:cs="宋体"/>
          <w:bCs/>
          <w:u w:val="single"/>
        </w:rPr>
        <w:t xml:space="preserve">月</w:t>
      </w:r>
      <w:r>
        <w:rPr>
          <w:rFonts w:hint="eastAsia" w:ascii="宋体" w:hAnsi="宋体" w:cs="宋体"/>
          <w:bCs/>
          <w:u w:val="single"/>
          <w:lang w:val="en-US" w:eastAsia="zh-CN"/>
        </w:rPr>
        <w:t xml:space="preserve">11</w:t>
      </w:r>
      <w:r>
        <w:rPr>
          <w:rFonts w:hint="eastAsia" w:ascii="宋体" w:hAnsi="宋体" w:cs="宋体"/>
          <w:bCs/>
          <w:u w:val="single"/>
        </w:rPr>
        <w:t xml:space="preserve">日 上午9：30 </w:t>
      </w:r>
      <w:r>
        <w:rPr>
          <w:rFonts w:hint="eastAsia" w:ascii="宋体" w:hAnsi="宋体" w:cs="宋体"/>
          <w:bCs/>
        </w:rPr>
        <w:t xml:space="preserve">（北京时间）前递交投标文件</w:t>
      </w:r>
      <w:r>
        <w:rPr>
          <w:rFonts w:hint="eastAsia" w:ascii="宋体" w:hAnsi="宋体" w:cs="宋体"/>
        </w:rPr>
        <w:t xml:space="preserve">。</w:t>
      </w:r>
      <w:r/>
    </w:p>
    <w:p>
      <w:pPr>
        <w:ind w:firstLine="422"/>
        <w:spacing w:line="360" w:lineRule="auto"/>
        <w:tabs>
          <w:tab w:val="left" w:pos="266" w:leader="none"/>
        </w:tabs>
        <w:rPr>
          <w:rFonts w:hint="eastAsia" w:ascii="宋体" w:hAnsi="宋体" w:cs="宋体"/>
          <w:b/>
          <w:bCs/>
        </w:rPr>
      </w:pPr>
      <w:r/>
      <w:bookmarkStart w:id="3" w:name="_Toc35393790"/>
      <w:r/>
      <w:bookmarkStart w:id="4" w:name="_Toc28359079"/>
      <w:r/>
      <w:bookmarkStart w:id="5" w:name="_Toc28359002"/>
      <w:r/>
      <w:bookmarkStart w:id="6" w:name="_Toc38985263"/>
      <w:r/>
      <w:bookmarkStart w:id="7" w:name="_Toc35393621"/>
      <w:r/>
      <w:bookmarkStart w:id="8" w:name="_Hlk24379207"/>
      <w:r>
        <w:rPr>
          <w:rFonts w:hint="eastAsia" w:ascii="宋体" w:hAnsi="宋体" w:cs="宋体"/>
          <w:b/>
          <w:bCs/>
        </w:rPr>
        <w:t xml:space="preserve">一、项目基本情况</w:t>
      </w:r>
      <w:bookmarkEnd w:id="3"/>
      <w:r/>
      <w:bookmarkEnd w:id="4"/>
      <w:r/>
      <w:bookmarkEnd w:id="5"/>
      <w:r/>
      <w:bookmarkEnd w:id="6"/>
      <w:r/>
      <w:bookmarkEnd w:id="7"/>
      <w:r/>
      <w:r/>
    </w:p>
    <w:p>
      <w:pPr>
        <w:ind w:firstLine="420"/>
        <w:spacing w:line="360" w:lineRule="auto"/>
        <w:rPr>
          <w:rFonts w:hint="eastAsia" w:ascii="宋体" w:hAnsi="宋体" w:eastAsia="宋体" w:cs="宋体"/>
          <w:szCs w:val="21"/>
          <w:lang w:eastAsia="zh-CN"/>
        </w:rPr>
      </w:pPr>
      <w:r>
        <w:rPr>
          <w:rFonts w:hint="eastAsia" w:ascii="宋体" w:hAnsi="宋体" w:cs="宋体"/>
        </w:rPr>
        <w:t xml:space="preserve">1.项目编号：</w:t>
      </w:r>
      <w:r>
        <w:rPr>
          <w:rFonts w:hint="eastAsia" w:ascii="宋体" w:hAnsi="宋体" w:cs="宋体"/>
          <w:szCs w:val="21"/>
          <w:lang w:eastAsia="zh-CN"/>
        </w:rPr>
        <w:t xml:space="preserve">JSZC-321000-SWGC-G2025-0240号</w:t>
      </w:r>
      <w:r/>
    </w:p>
    <w:p>
      <w:pPr>
        <w:ind w:firstLine="420"/>
        <w:spacing w:line="360" w:lineRule="auto"/>
        <w:rPr>
          <w:rFonts w:hint="eastAsia" w:ascii="宋体" w:hAnsi="宋体" w:cs="宋体"/>
        </w:rPr>
      </w:pPr>
      <w:r>
        <w:rPr>
          <w:rFonts w:hint="eastAsia" w:ascii="宋体" w:hAnsi="宋体" w:cs="宋体"/>
        </w:rPr>
        <w:t xml:space="preserve">2.项目名称：江苏省苏北人民医院ICU数智化管理系统项目</w:t>
      </w:r>
      <w:bookmarkEnd w:id="8"/>
      <w:r/>
      <w:r/>
    </w:p>
    <w:p>
      <w:pPr>
        <w:ind w:firstLine="420"/>
        <w:spacing w:line="360" w:lineRule="auto"/>
        <w:rPr>
          <w:rFonts w:hint="eastAsia" w:ascii="宋体" w:hAnsi="宋体" w:cs="宋体"/>
          <w:highlight w:val="none"/>
        </w:rPr>
      </w:pPr>
      <w:r>
        <w:rPr>
          <w:rFonts w:hint="eastAsia" w:ascii="宋体" w:hAnsi="宋体" w:cs="宋体"/>
          <w:highlight w:val="none"/>
        </w:rPr>
        <w:t xml:space="preserve">3.预算金额：人民币3</w:t>
      </w:r>
      <w:r>
        <w:rPr>
          <w:rFonts w:hint="eastAsia" w:ascii="宋体" w:hAnsi="宋体" w:cs="宋体"/>
          <w:highlight w:val="none"/>
          <w:lang w:val="en-US" w:eastAsia="zh-CN"/>
        </w:rPr>
        <w:t xml:space="preserve">00</w:t>
      </w:r>
      <w:r>
        <w:rPr>
          <w:rFonts w:hint="eastAsia" w:ascii="宋体" w:hAnsi="宋体" w:cs="宋体"/>
          <w:highlight w:val="none"/>
        </w:rPr>
        <w:t xml:space="preserve">万元。</w:t>
      </w:r>
      <w:r/>
    </w:p>
    <w:p>
      <w:pPr>
        <w:ind w:firstLine="420"/>
        <w:spacing w:line="360" w:lineRule="auto"/>
        <w:rPr>
          <w:rFonts w:hint="eastAsia" w:ascii="宋体" w:hAnsi="宋体" w:cs="宋体"/>
          <w:highlight w:val="none"/>
        </w:rPr>
      </w:pPr>
      <w:r>
        <w:rPr>
          <w:rFonts w:hint="eastAsia" w:ascii="宋体" w:hAnsi="宋体" w:cs="宋体"/>
          <w:highlight w:val="none"/>
        </w:rPr>
        <w:t xml:space="preserve">4.本项目</w:t>
      </w:r>
      <w:r>
        <w:rPr>
          <w:rFonts w:hint="eastAsia" w:ascii="宋体" w:hAnsi="宋体" w:cs="宋体"/>
          <w:highlight w:val="none"/>
          <w:u w:val="single"/>
        </w:rPr>
        <w:t xml:space="preserve">设置</w:t>
      </w:r>
      <w:r>
        <w:rPr>
          <w:rFonts w:hint="eastAsia" w:ascii="宋体" w:hAnsi="宋体" w:cs="宋体"/>
          <w:highlight w:val="none"/>
        </w:rPr>
        <w:t xml:space="preserve">最高限价：人民币3</w:t>
      </w:r>
      <w:r>
        <w:rPr>
          <w:rFonts w:hint="eastAsia" w:ascii="宋体" w:hAnsi="宋体" w:cs="宋体"/>
          <w:highlight w:val="none"/>
          <w:lang w:val="en-US" w:eastAsia="zh-CN"/>
        </w:rPr>
        <w:t xml:space="preserve">00</w:t>
      </w:r>
      <w:r>
        <w:rPr>
          <w:rFonts w:hint="eastAsia" w:ascii="宋体" w:hAnsi="宋体" w:cs="宋体"/>
          <w:highlight w:val="none"/>
        </w:rPr>
        <w:t xml:space="preserve">万元。</w:t>
      </w:r>
      <w:r/>
    </w:p>
    <w:p>
      <w:pPr>
        <w:ind w:firstLine="420"/>
        <w:spacing w:line="360" w:lineRule="auto"/>
        <w:rPr>
          <w:rFonts w:hint="eastAsia" w:ascii="宋体" w:hAnsi="宋体" w:cs="宋体"/>
          <w:u w:val="single"/>
        </w:rPr>
      </w:pPr>
      <w:r>
        <w:rPr>
          <w:rFonts w:hint="eastAsia" w:ascii="宋体" w:hAnsi="宋体" w:cs="宋体"/>
        </w:rPr>
        <w:t xml:space="preserve">5.采购需求：见招标文件第四章。</w:t>
      </w:r>
      <w:r/>
    </w:p>
    <w:p>
      <w:pPr>
        <w:ind w:firstLine="420"/>
        <w:spacing w:line="360" w:lineRule="auto"/>
        <w:rPr>
          <w:rFonts w:hint="eastAsia" w:ascii="宋体" w:hAnsi="宋体" w:cs="宋体"/>
        </w:rPr>
      </w:pPr>
      <w:r>
        <w:rPr>
          <w:rFonts w:hint="eastAsia" w:ascii="宋体" w:hAnsi="宋体" w:cs="宋体"/>
        </w:rPr>
        <w:t xml:space="preserve">6.合同履行期限：见招标文件第四章。</w:t>
      </w:r>
      <w:r/>
    </w:p>
    <w:p>
      <w:pPr>
        <w:ind w:firstLine="420"/>
        <w:spacing w:line="360" w:lineRule="auto"/>
        <w:rPr>
          <w:rFonts w:hint="eastAsia" w:ascii="宋体" w:hAnsi="宋体" w:cs="宋体"/>
        </w:rPr>
      </w:pPr>
      <w:r>
        <w:rPr>
          <w:rFonts w:hint="eastAsia" w:ascii="宋体" w:hAnsi="宋体" w:cs="宋体"/>
        </w:rPr>
        <w:t xml:space="preserve">7.本项目</w:t>
      </w:r>
      <w:r>
        <w:rPr>
          <w:rFonts w:hint="eastAsia" w:ascii="宋体" w:hAnsi="宋体" w:cs="宋体"/>
          <w:i/>
          <w:iCs/>
          <w:u w:val="single"/>
        </w:rPr>
        <w:t xml:space="preserve">不接受 </w:t>
      </w:r>
      <w:r>
        <w:rPr>
          <w:rFonts w:hint="eastAsia" w:ascii="宋体" w:hAnsi="宋体" w:cs="宋体"/>
        </w:rPr>
        <w:t xml:space="preserve">联合体投标。  </w:t>
      </w:r>
      <w:r/>
    </w:p>
    <w:p>
      <w:pPr>
        <w:ind w:firstLine="420"/>
        <w:spacing w:line="360" w:lineRule="auto"/>
        <w:rPr>
          <w:rFonts w:hint="eastAsia" w:ascii="宋体" w:hAnsi="宋体" w:cs="宋体"/>
        </w:rPr>
      </w:pPr>
      <w:r>
        <w:rPr>
          <w:rFonts w:hint="eastAsia" w:ascii="宋体" w:hAnsi="宋体" w:cs="宋体"/>
        </w:rPr>
        <w:t xml:space="preserve">8.</w:t>
      </w:r>
      <w:r>
        <w:rPr>
          <w:rFonts w:hint="eastAsia" w:ascii="Times New Roman" w:hAnsi="Times New Roman" w:cs="宋体"/>
        </w:rPr>
        <w:t xml:space="preserve">本项目</w:t>
      </w:r>
      <w:r>
        <w:rPr>
          <w:rFonts w:hint="eastAsia" w:ascii="Times New Roman" w:hAnsi="Times New Roman" w:cs="宋体"/>
          <w:i/>
          <w:iCs/>
          <w:u w:val="single"/>
        </w:rPr>
        <w:t xml:space="preserve">不接受</w:t>
      </w:r>
      <w:r>
        <w:rPr>
          <w:rFonts w:hint="eastAsia" w:ascii="Times New Roman" w:hAnsi="Times New Roman" w:cs="宋体"/>
        </w:rPr>
        <w:t xml:space="preserve">进口产品投标。</w:t>
      </w:r>
      <w:r/>
    </w:p>
    <w:p>
      <w:pPr>
        <w:ind w:firstLine="422"/>
        <w:spacing w:line="360" w:lineRule="auto"/>
        <w:tabs>
          <w:tab w:val="left" w:pos="266" w:leader="none"/>
        </w:tabs>
        <w:rPr>
          <w:rFonts w:hint="eastAsia" w:ascii="宋体" w:hAnsi="宋体" w:cs="宋体"/>
          <w:b/>
          <w:bCs/>
        </w:rPr>
      </w:pPr>
      <w:r/>
      <w:bookmarkStart w:id="9" w:name="_Toc35393622"/>
      <w:r/>
      <w:bookmarkStart w:id="10" w:name="_Toc38985264"/>
      <w:r/>
      <w:bookmarkStart w:id="11" w:name="_Toc28359003"/>
      <w:r/>
      <w:bookmarkStart w:id="12" w:name="_Toc28359080"/>
      <w:r/>
      <w:bookmarkStart w:id="13" w:name="_Toc35393791"/>
      <w:r>
        <w:rPr>
          <w:rFonts w:hint="eastAsia" w:ascii="宋体" w:hAnsi="宋体" w:cs="宋体"/>
          <w:b/>
          <w:bCs/>
        </w:rPr>
        <w:t xml:space="preserve">二、申请人的资格要求：</w:t>
      </w:r>
      <w:bookmarkEnd w:id="9"/>
      <w:r/>
      <w:bookmarkEnd w:id="10"/>
      <w:r/>
      <w:bookmarkEnd w:id="11"/>
      <w:r/>
      <w:bookmarkEnd w:id="12"/>
      <w:r/>
      <w:bookmarkEnd w:id="13"/>
      <w:r/>
      <w:r/>
    </w:p>
    <w:p>
      <w:pPr>
        <w:ind w:firstLine="420"/>
        <w:spacing w:line="360" w:lineRule="auto"/>
        <w:rPr>
          <w:rFonts w:hint="eastAsia" w:ascii="宋体" w:hAnsi="宋体" w:cs="宋体"/>
          <w:szCs w:val="21"/>
        </w:rPr>
      </w:pPr>
      <w:r/>
      <w:bookmarkStart w:id="14" w:name="_Toc35393623"/>
      <w:r/>
      <w:bookmarkStart w:id="15" w:name="_Toc38985265"/>
      <w:r/>
      <w:bookmarkStart w:id="16" w:name="_Toc28359004"/>
      <w:r/>
      <w:bookmarkStart w:id="17" w:name="_Toc35393792"/>
      <w:r/>
      <w:bookmarkStart w:id="18" w:name="_Toc28359081"/>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上一年度的财务报告情况</w:t>
      </w:r>
      <w:r>
        <w:rPr>
          <w:rFonts w:hint="eastAsia" w:ascii="宋体" w:hAnsi="宋体" w:cs="宋体"/>
          <w:b/>
          <w:bCs/>
          <w:i/>
          <w:iCs/>
          <w:szCs w:val="21"/>
          <w:u w:val="single"/>
        </w:rPr>
        <w:t xml:space="preserve">（成立不满一年无需提供）</w:t>
      </w:r>
      <w:r/>
    </w:p>
    <w:p>
      <w:pPr>
        <w:ind w:firstLine="420"/>
        <w:spacing w:line="360" w:lineRule="auto"/>
        <w:rPr>
          <w:rFonts w:hint="eastAsia" w:ascii="宋体" w:hAnsi="宋体" w:cs="宋体"/>
          <w:b/>
          <w:bCs/>
          <w:i/>
          <w:iCs/>
          <w:u w:val="single"/>
        </w:rPr>
      </w:pPr>
      <w:r>
        <w:rPr>
          <w:rFonts w:hint="eastAsia" w:ascii="宋体" w:hAnsi="宋体" w:cs="宋体"/>
          <w:i/>
          <w:iCs/>
          <w:szCs w:val="21"/>
          <w:u w:val="single"/>
        </w:rPr>
        <w:t xml:space="preserve">1.3 依法缴纳税收和社会保障资金的相关材料</w:t>
      </w:r>
      <w:r>
        <w:rPr>
          <w:rFonts w:hint="eastAsia" w:ascii="宋体" w:hAnsi="宋体" w:cs="宋体"/>
          <w:b/>
          <w:bCs/>
          <w:i/>
          <w:iCs/>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具备履行合同所必需的设备和专业技术能力的书面声明；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参加政府采购活动前3年内在经营活动中没有重大违法记录的书面声明；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w:t>
      </w:r>
      <w:r>
        <w:rPr>
          <w:rFonts w:hint="eastAsia" w:ascii="宋体" w:hAnsi="宋体" w:cs="宋体"/>
          <w:i/>
          <w:iCs/>
          <w:szCs w:val="21"/>
          <w:u w:val="single"/>
          <w:lang w:eastAsia="zh-CN"/>
        </w:rPr>
        <w:t xml:space="preserve">供应商信用承诺书</w:t>
      </w:r>
      <w:r>
        <w:rPr>
          <w:rFonts w:hint="eastAsia" w:ascii="宋体" w:hAnsi="宋体" w:cs="宋体"/>
          <w:i/>
          <w:iCs/>
          <w:szCs w:val="21"/>
          <w:u w:val="single"/>
        </w:rPr>
        <w:t xml:space="preserve">；</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s="宋体"/>
          <w:i/>
          <w:szCs w:val="21"/>
          <w:u w:val="single"/>
        </w:rPr>
      </w:pPr>
      <w:r>
        <w:rPr>
          <w:rFonts w:hint="eastAsia" w:ascii="宋体" w:hAnsi="宋体" w:cs="宋体"/>
          <w:szCs w:val="21"/>
        </w:rPr>
        <w:t xml:space="preserve">2.落实政府采购政策需满足的资格要求：</w:t>
      </w:r>
      <w:r>
        <w:rPr>
          <w:rFonts w:hint="eastAsia" w:ascii="宋体" w:hAnsi="宋体" w:cs="宋体"/>
          <w:i/>
          <w:iCs/>
          <w:color w:val="auto"/>
          <w:szCs w:val="21"/>
          <w:u w:val="single"/>
        </w:rPr>
        <w:t xml:space="preserve">根据《政府采购促进中小企业发展管理办法》规定，本项目专门面向中小企业采购，投标人应在投标文件中按要求提供《中小企业声明函》。</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i/>
          <w:iCs/>
          <w:szCs w:val="21"/>
          <w:u w:val="single"/>
        </w:rPr>
        <w:t xml:space="preserve">无</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4"/>
      <w:r/>
      <w:bookmarkEnd w:id="15"/>
      <w:r/>
      <w:bookmarkEnd w:id="16"/>
      <w:r/>
      <w:bookmarkEnd w:id="17"/>
      <w:r/>
      <w:bookmarkEnd w:id="18"/>
      <w:r/>
      <w:r/>
    </w:p>
    <w:p>
      <w:pPr>
        <w:ind w:firstLine="420"/>
        <w:spacing w:line="360" w:lineRule="auto"/>
        <w:rPr>
          <w:rFonts w:hint="eastAsia" w:ascii="宋体" w:hAnsi="宋体" w:cs="宋体"/>
        </w:rPr>
      </w:pPr>
      <w:r/>
      <w:bookmarkStart w:id="19" w:name="_Toc28359082"/>
      <w:r/>
      <w:bookmarkStart w:id="20" w:name="_Toc28359005"/>
      <w:r/>
      <w:bookmarkStart w:id="21" w:name="_Toc35393793"/>
      <w:r/>
      <w:bookmarkStart w:id="22" w:name="_Toc38985266"/>
      <w:r/>
      <w:bookmarkStart w:id="23" w:name="_Toc35393624"/>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bCs/>
          <w:szCs w:val="21"/>
        </w:rPr>
      </w:pPr>
      <w:r>
        <w:rPr>
          <w:rFonts w:hint="eastAsia" w:ascii="宋体" w:hAnsi="宋体" w:cs="宋体"/>
          <w:b/>
          <w:bCs/>
          <w:szCs w:val="21"/>
        </w:rPr>
        <w:t xml:space="preserve">2.获取方式：本项目采用网上注册登记方式。</w:t>
      </w:r>
      <w:r/>
    </w:p>
    <w:p>
      <w:pPr>
        <w:ind w:firstLine="422"/>
        <w:spacing w:line="360" w:lineRule="auto"/>
        <w:rPr>
          <w:rFonts w:hint="eastAsia"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http://zfcg.yangzhou.gov.cn/xzzx/art/2023/art_4d7de1f7865f4a2894fc22bc452f94d8.html。</w:t>
      </w:r>
      <w:r/>
    </w:p>
    <w:p>
      <w:pPr>
        <w:ind w:firstLine="422"/>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szCs w:val="21"/>
        </w:rPr>
      </w:pPr>
      <w:r>
        <w:rPr>
          <w:rFonts w:hint="eastAsia" w:ascii="宋体" w:hAnsi="宋体" w:cs="宋体"/>
          <w:b/>
          <w:bCs/>
          <w:szCs w:val="21"/>
        </w:rPr>
        <w:t xml:space="preserve">（7）苏采云系统使用谷歌浏览器参与不见面开标。</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19"/>
      <w:r/>
      <w:bookmarkEnd w:id="20"/>
      <w:r>
        <w:rPr>
          <w:rFonts w:hint="eastAsia" w:ascii="宋体" w:hAnsi="宋体" w:cs="宋体"/>
          <w:b/>
          <w:bCs/>
        </w:rPr>
        <w:t xml:space="preserve">截止时间、开标时间和地点</w:t>
      </w:r>
      <w:bookmarkEnd w:id="21"/>
      <w:r/>
      <w:bookmarkEnd w:id="22"/>
      <w:r/>
      <w:bookmarkEnd w:id="23"/>
      <w:r/>
      <w:r/>
    </w:p>
    <w:p>
      <w:pPr>
        <w:ind w:firstLine="420"/>
        <w:spacing w:line="360" w:lineRule="auto"/>
        <w:rPr>
          <w:rFonts w:hint="eastAsia" w:ascii="宋体" w:hAnsi="宋体" w:cs="宋体"/>
          <w:bCs/>
          <w:szCs w:val="21"/>
          <w:u w:val="single"/>
        </w:rPr>
      </w:pPr>
      <w:r>
        <w:rPr>
          <w:rFonts w:hint="eastAsia" w:ascii="宋体" w:hAnsi="宋体" w:cs="宋体"/>
        </w:rPr>
        <w:t xml:space="preserve">1.时间：2025年</w:t>
      </w:r>
      <w:r>
        <w:rPr>
          <w:rFonts w:hint="eastAsia" w:ascii="宋体" w:hAnsi="宋体" w:cs="宋体"/>
          <w:lang w:val="en-US" w:eastAsia="zh-CN"/>
        </w:rPr>
        <w:t xml:space="preserve">12</w:t>
      </w:r>
      <w:r>
        <w:rPr>
          <w:rFonts w:hint="eastAsia" w:ascii="宋体" w:hAnsi="宋体" w:cs="宋体"/>
        </w:rPr>
        <w:t xml:space="preserve">月</w:t>
      </w:r>
      <w:r>
        <w:rPr>
          <w:rFonts w:hint="eastAsia" w:ascii="宋体" w:hAnsi="宋体" w:cs="宋体"/>
          <w:lang w:val="en-US" w:eastAsia="zh-CN"/>
        </w:rPr>
        <w:t xml:space="preserve">11</w:t>
      </w:r>
      <w:r>
        <w:rPr>
          <w:rFonts w:hint="eastAsia" w:ascii="宋体" w:hAnsi="宋体" w:cs="宋体"/>
        </w:rPr>
        <w:t xml:space="preserve">日上午9：30 （北京时间）</w:t>
      </w:r>
      <w:r/>
    </w:p>
    <w:p>
      <w:pPr>
        <w:ind w:firstLine="420"/>
        <w:spacing w:line="360" w:lineRule="auto"/>
        <w:rPr>
          <w:rFonts w:hint="eastAsia" w:ascii="宋体" w:hAnsi="宋体" w:cs="宋体"/>
          <w:b/>
          <w:szCs w:val="21"/>
        </w:rPr>
      </w:pPr>
      <w:r>
        <w:rPr>
          <w:rFonts w:hint="eastAsia" w:ascii="宋体" w:hAnsi="宋体" w:cs="宋体"/>
        </w:rPr>
        <w:t xml:space="preserve">2.开标地点：</w:t>
      </w:r>
      <w:r>
        <w:rPr>
          <w:rFonts w:hint="eastAsia" w:ascii="宋体" w:hAnsi="宋体" w:cs="宋体"/>
          <w:szCs w:val="21"/>
        </w:rPr>
        <w:t xml:space="preserve">“苏采云”系统（网址：http：//jszfcg.jsczt.cn/）</w:t>
      </w:r>
      <w:r/>
    </w:p>
    <w:p>
      <w:pPr>
        <w:ind w:firstLine="422"/>
        <w:spacing w:line="360" w:lineRule="auto"/>
        <w:tabs>
          <w:tab w:val="left" w:pos="266" w:leader="none"/>
        </w:tabs>
        <w:rPr>
          <w:rFonts w:hint="eastAsia" w:ascii="宋体" w:hAnsi="宋体" w:cs="宋体"/>
          <w:b/>
          <w:bCs/>
        </w:rPr>
      </w:pPr>
      <w:r/>
      <w:bookmarkStart w:id="24" w:name="_Toc28359084"/>
      <w:r/>
      <w:bookmarkStart w:id="25" w:name="_Toc28359007"/>
      <w:r/>
      <w:bookmarkStart w:id="26" w:name="_Toc38985267"/>
      <w:r/>
      <w:bookmarkStart w:id="27" w:name="_Toc35393625"/>
      <w:r/>
      <w:bookmarkStart w:id="28" w:name="_Toc35393794"/>
      <w:r>
        <w:rPr>
          <w:rFonts w:hint="eastAsia" w:ascii="宋体" w:hAnsi="宋体" w:cs="宋体"/>
          <w:b/>
          <w:bCs/>
        </w:rPr>
        <w:t xml:space="preserve">五、公告期限</w:t>
      </w:r>
      <w:bookmarkEnd w:id="24"/>
      <w:r/>
      <w:bookmarkEnd w:id="25"/>
      <w:r/>
      <w:bookmarkEnd w:id="26"/>
      <w:r/>
      <w:bookmarkEnd w:id="27"/>
      <w:r/>
      <w:bookmarkEnd w:id="28"/>
      <w:r/>
      <w:r/>
    </w:p>
    <w:p>
      <w:pPr>
        <w:ind w:firstLine="420"/>
        <w:spacing w:line="360" w:lineRule="auto"/>
        <w:rPr>
          <w:rFonts w:hint="eastAsia" w:ascii="宋体" w:hAnsi="宋体" w:cs="宋体"/>
        </w:rPr>
      </w:pPr>
      <w:r/>
      <w:bookmarkStart w:id="29" w:name="_Toc38985268"/>
      <w:r/>
      <w:bookmarkStart w:id="30" w:name="_Toc35393626"/>
      <w:r/>
      <w:bookmarkStart w:id="31" w:name="_Toc35393795"/>
      <w:r>
        <w:rPr>
          <w:rFonts w:hint="eastAsia" w:ascii="宋体" w:hAnsi="宋体" w:cs="宋体"/>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29"/>
      <w:r/>
      <w:bookmarkEnd w:id="30"/>
      <w:r/>
      <w:bookmarkEnd w:id="31"/>
      <w:r/>
      <w:r/>
    </w:p>
    <w:p>
      <w:pPr>
        <w:ind w:firstLine="422"/>
        <w:spacing w:line="360" w:lineRule="auto"/>
        <w:rPr>
          <w:rFonts w:hint="eastAsia" w:ascii="宋体" w:hAnsi="宋体" w:cs="宋体"/>
          <w:b/>
          <w:bCs/>
        </w:rPr>
      </w:pPr>
      <w:r/>
      <w:bookmarkStart w:id="32" w:name="_Toc35393627"/>
      <w:r/>
      <w:bookmarkStart w:id="33" w:name="_Toc28359008"/>
      <w:r/>
      <w:bookmarkStart w:id="34" w:name="_Toc28359085"/>
      <w:r/>
      <w:bookmarkStart w:id="35" w:name="_Toc38985269"/>
      <w:r/>
      <w:bookmarkStart w:id="36" w:name="_Toc35393796"/>
      <w:r>
        <w:rPr>
          <w:rFonts w:hint="eastAsia" w:ascii="宋体" w:hAnsi="宋体" w:cs="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szCs w:val="21"/>
        </w:rPr>
      </w:pPr>
      <w:r>
        <w:rPr>
          <w:rFonts w:hint="eastAsia" w:ascii="宋体" w:hAnsi="宋体" w:cs="宋体"/>
          <w:b/>
          <w:bCs/>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rPr>
      </w:pPr>
      <w:r>
        <w:rPr>
          <w:rFonts w:hint="eastAsia" w:ascii="宋体" w:hAnsi="宋体" w:cs="宋体"/>
          <w:bCs/>
          <w:szCs w:val="21"/>
        </w:rPr>
        <w:t xml:space="preserve">3.</w:t>
      </w:r>
      <w:r>
        <w:rPr>
          <w:rFonts w:hint="eastAsia" w:ascii="宋体" w:hAnsi="宋体" w:cs="宋体"/>
        </w:rPr>
        <w:t xml:space="preserve">本次招标</w:t>
      </w:r>
      <w:r>
        <w:rPr>
          <w:rFonts w:hint="eastAsia" w:ascii="宋体" w:hAnsi="宋体" w:cs="宋体"/>
          <w:u w:val="single"/>
        </w:rPr>
        <w:t xml:space="preserve">不收取 </w:t>
      </w:r>
      <w:r>
        <w:rPr>
          <w:rFonts w:hint="eastAsia" w:ascii="宋体" w:hAnsi="宋体" w:cs="宋体"/>
        </w:rPr>
        <w:t xml:space="preserve">投标保证金。</w:t>
      </w:r>
      <w:r/>
    </w:p>
    <w:p>
      <w:pPr>
        <w:ind w:firstLine="420"/>
        <w:spacing w:line="360" w:lineRule="auto"/>
        <w:rPr>
          <w:rFonts w:hint="eastAsia" w:ascii="宋体" w:hAnsi="宋体" w:cs="宋体"/>
          <w:bCs/>
        </w:rPr>
      </w:pPr>
      <w:r>
        <w:rPr>
          <w:rFonts w:hint="eastAsia" w:ascii="宋体" w:hAnsi="宋体" w:cs="宋体"/>
          <w:szCs w:val="21"/>
        </w:rPr>
        <w:t xml:space="preserve">4.</w:t>
      </w:r>
      <w:r>
        <w:rPr>
          <w:rFonts w:hint="eastAsia" w:ascii="宋体" w:hAnsi="宋体" w:cs="宋体"/>
          <w:bCs/>
        </w:rPr>
        <w:t xml:space="preserve">有关本次招标的事项若存在变动或修改，敬请及时关注</w:t>
      </w:r>
      <w:r>
        <w:rPr>
          <w:rFonts w:hint="eastAsia" w:ascii="宋体" w:hAnsi="宋体" w:cs="宋体"/>
          <w:bCs/>
          <w:szCs w:val="21"/>
        </w:rPr>
        <w:t xml:space="preserve">“扬州市政府采购网”、“江苏政府采购网”和“中国政府采购网”</w:t>
      </w:r>
      <w:r>
        <w:rPr>
          <w:rFonts w:hint="eastAsia" w:ascii="宋体" w:hAnsi="宋体" w:cs="宋体"/>
          <w:bCs/>
        </w:rPr>
        <w:t xml:space="preserve">发布的信息。</w:t>
      </w:r>
      <w:r/>
    </w:p>
    <w:p>
      <w:pPr>
        <w:ind w:firstLine="422"/>
        <w:spacing w:line="360" w:lineRule="auto"/>
        <w:tabs>
          <w:tab w:val="left" w:pos="266" w:leader="none"/>
        </w:tabs>
        <w:rPr>
          <w:rFonts w:hint="eastAsia" w:ascii="宋体" w:hAnsi="宋体" w:cs="宋体"/>
          <w:b/>
          <w:i/>
          <w:iCs/>
          <w:u w:val="single"/>
        </w:rPr>
      </w:pPr>
      <w:r>
        <w:rPr>
          <w:rFonts w:hint="eastAsia" w:ascii="宋体" w:hAnsi="宋体" w:cs="宋体"/>
          <w:b/>
          <w:i/>
          <w:iCs/>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8.本项目严格执行政府采购关于支持节能产品、环境</w:t>
      </w:r>
      <w:r>
        <w:rPr>
          <w:rFonts w:hint="eastAsia" w:ascii="宋体" w:hAnsi="宋体" w:cs="宋体"/>
          <w:bCs/>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
          <w:i/>
          <w:iCs/>
          <w:u w:val="single"/>
        </w:rPr>
      </w:pPr>
      <w:r>
        <w:rPr>
          <w:rFonts w:hint="eastAsia" w:ascii="宋体" w:hAnsi="宋体" w:cs="宋体"/>
          <w:bCs/>
        </w:rPr>
        <w:t xml:space="preserve">9.供应商对于所投货物的包装应按照“财办库〔2020〕123号《关于印发《商品包装政府采购需求标准（试行）》、《快递包装政府采购需求标准（试行）》的通知》”执行。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七、本次招标联系方式</w:t>
      </w:r>
      <w:bookmarkEnd w:id="32"/>
      <w:r/>
      <w:bookmarkEnd w:id="33"/>
      <w:r/>
      <w:bookmarkEnd w:id="34"/>
      <w:r/>
      <w:bookmarkEnd w:id="35"/>
      <w:r/>
      <w:bookmarkEnd w:id="36"/>
      <w:r/>
      <w:r/>
    </w:p>
    <w:p>
      <w:pPr>
        <w:ind w:firstLine="420"/>
        <w:jc w:val="left"/>
        <w:spacing w:line="360" w:lineRule="auto"/>
        <w:widowControl/>
        <w:rPr>
          <w:rFonts w:hint="eastAsia" w:ascii="宋体" w:hAnsi="宋体" w:cs="宋体"/>
          <w:szCs w:val="21"/>
        </w:rPr>
      </w:pPr>
      <w:r/>
      <w:bookmarkStart w:id="37" w:name="_Toc28359087"/>
      <w:r/>
      <w:bookmarkStart w:id="38" w:name="_Toc28359010"/>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 称：</w:t>
      </w:r>
      <w:r>
        <w:rPr>
          <w:rFonts w:hint="eastAsia" w:ascii="宋体" w:hAnsi="宋体" w:cs="宋体"/>
          <w:szCs w:val="21"/>
        </w:rPr>
        <w:t xml:space="preserve">江苏省苏北人民医院</w:t>
      </w:r>
      <w:r/>
    </w:p>
    <w:p>
      <w:pPr>
        <w:ind w:firstLine="420"/>
        <w:jc w:val="left"/>
        <w:spacing w:line="360" w:lineRule="auto"/>
        <w:rPr>
          <w:rFonts w:hint="eastAsia" w:ascii="宋体" w:hAnsi="宋体" w:cs="宋体"/>
        </w:rPr>
      </w:pPr>
      <w:r/>
      <w:bookmarkStart w:id="39" w:name="_Toc28359086"/>
      <w:r/>
      <w:bookmarkStart w:id="40" w:name="_Toc28359009"/>
      <w:r>
        <w:rPr>
          <w:rFonts w:hint="eastAsia" w:ascii="宋体" w:hAnsi="宋体" w:cs="宋体"/>
        </w:rPr>
        <w:t xml:space="preserve">地 址：扬州市广陵区南通西路98号 </w:t>
      </w:r>
      <w:r/>
    </w:p>
    <w:p>
      <w:pPr>
        <w:ind w:firstLine="420"/>
        <w:jc w:val="left"/>
        <w:spacing w:line="360" w:lineRule="auto"/>
        <w:rPr>
          <w:rFonts w:hint="eastAsia" w:ascii="宋体" w:hAnsi="宋体" w:cs="宋体"/>
        </w:rPr>
      </w:pPr>
      <w:r>
        <w:rPr>
          <w:rFonts w:hint="eastAsia" w:ascii="宋体" w:hAnsi="宋体" w:cs="宋体"/>
        </w:rPr>
        <w:t xml:space="preserve">联系人：丁老师</w:t>
      </w:r>
      <w:r/>
    </w:p>
    <w:p>
      <w:pPr>
        <w:ind w:firstLine="420"/>
        <w:jc w:val="left"/>
        <w:spacing w:line="360" w:lineRule="auto"/>
        <w:rPr>
          <w:rFonts w:hint="eastAsia" w:ascii="宋体" w:hAnsi="宋体" w:cs="宋体"/>
          <w:szCs w:val="21"/>
        </w:rPr>
      </w:pPr>
      <w:r>
        <w:rPr>
          <w:rFonts w:hint="eastAsia" w:ascii="宋体" w:hAnsi="宋体" w:cs="宋体"/>
        </w:rPr>
        <w:t xml:space="preserve">联系方式：0514-87373868 </w:t>
      </w:r>
      <w:r>
        <w:rPr>
          <w:rFonts w:hint="eastAsia" w:ascii="宋体" w:hAnsi="宋体" w:cs="宋体"/>
          <w:szCs w:val="21"/>
        </w:rPr>
        <w:t xml:space="preserve"> </w:t>
      </w:r>
      <w:r/>
    </w:p>
    <w:p>
      <w:pPr>
        <w:ind w:firstLine="420"/>
        <w:jc w:val="left"/>
        <w:spacing w:line="360" w:lineRule="auto"/>
        <w:rPr>
          <w:rFonts w:hint="eastAsia" w:ascii="宋体" w:hAnsi="宋体" w:cs="宋体"/>
        </w:rPr>
      </w:pPr>
      <w:r>
        <w:rPr>
          <w:rFonts w:hint="eastAsia" w:ascii="宋体" w:hAnsi="宋体" w:cs="宋体"/>
        </w:rPr>
        <w:t xml:space="preserve">2.采购代理机构信息</w:t>
      </w:r>
      <w:bookmarkEnd w:id="39"/>
      <w:r/>
      <w:bookmarkEnd w:id="40"/>
      <w:r/>
      <w:r/>
    </w:p>
    <w:p>
      <w:pPr>
        <w:ind w:firstLine="420"/>
        <w:spacing w:line="360" w:lineRule="auto"/>
        <w:rPr>
          <w:rFonts w:hint="eastAsia" w:ascii="宋体" w:hAnsi="宋体" w:cs="宋体"/>
        </w:rPr>
      </w:pPr>
      <w:r>
        <w:rPr>
          <w:rFonts w:hint="eastAsia" w:ascii="宋体" w:hAnsi="宋体" w:cs="宋体"/>
        </w:rPr>
        <w:t xml:space="preserve">名称：</w:t>
      </w:r>
      <w:r>
        <w:rPr>
          <w:rFonts w:hint="eastAsia" w:ascii="宋体" w:hAnsi="宋体" w:cs="宋体"/>
          <w:szCs w:val="21"/>
        </w:rPr>
        <w:t xml:space="preserve">江苏苏维工程管理有限公司</w:t>
      </w:r>
      <w:r/>
    </w:p>
    <w:p>
      <w:pPr>
        <w:ind w:firstLine="420"/>
        <w:spacing w:line="360" w:lineRule="auto"/>
        <w:rPr>
          <w:rFonts w:hint="eastAsia" w:ascii="宋体" w:hAnsi="宋体" w:cs="宋体"/>
        </w:rPr>
      </w:pPr>
      <w:r>
        <w:rPr>
          <w:rFonts w:hint="eastAsia" w:ascii="宋体" w:hAnsi="宋体" w:cs="宋体"/>
        </w:rPr>
        <w:t xml:space="preserve">地　址：</w:t>
      </w:r>
      <w:r>
        <w:rPr>
          <w:rFonts w:hint="eastAsia" w:ascii="宋体" w:hAnsi="宋体" w:cs="宋体"/>
          <w:szCs w:val="21"/>
        </w:rPr>
        <w:t xml:space="preserve">扬州市邗江区翠岗路48号</w:t>
      </w:r>
      <w:r/>
    </w:p>
    <w:p>
      <w:pPr>
        <w:ind w:firstLine="420"/>
        <w:spacing w:line="360" w:lineRule="auto"/>
        <w:rPr>
          <w:rFonts w:hint="eastAsia" w:ascii="宋体" w:hAnsi="宋体" w:cs="宋体"/>
        </w:rPr>
      </w:pPr>
      <w:r>
        <w:rPr>
          <w:rFonts w:hint="eastAsia" w:ascii="宋体" w:hAnsi="宋体" w:cs="宋体"/>
        </w:rPr>
        <w:t xml:space="preserve">联系人：</w:t>
      </w:r>
      <w:r>
        <w:rPr>
          <w:rFonts w:hint="eastAsia" w:ascii="宋体" w:hAnsi="宋体" w:cs="宋体"/>
          <w:szCs w:val="21"/>
        </w:rPr>
        <w:t xml:space="preserve">阮玉婷</w:t>
      </w:r>
      <w:r/>
    </w:p>
    <w:p>
      <w:pPr>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szCs w:val="21"/>
        </w:rPr>
        <w:t xml:space="preserve">0514-82129116</w:t>
      </w:r>
      <w:bookmarkEnd w:id="37"/>
      <w:r/>
      <w:bookmarkEnd w:id="38"/>
      <w:r/>
      <w:r/>
    </w:p>
    <w:p>
      <w:pPr>
        <w:pStyle w:val="931"/>
        <w:jc w:val="center"/>
        <w:rPr>
          <w:rFonts w:hint="eastAsia" w:ascii="宋体" w:hAnsi="宋体" w:cs="宋体"/>
          <w:sz w:val="36"/>
          <w:szCs w:val="36"/>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1" w:name="_Toc55204178"/>
      <w:r/>
      <w:r/>
    </w:p>
    <w:p>
      <w:pPr>
        <w:pStyle w:val="744"/>
      </w:pPr>
      <w:r/>
      <w:bookmarkStart w:id="42" w:name="_Toc10032"/>
      <w:r>
        <w:rPr>
          <w:rFonts w:hint="eastAsia"/>
        </w:rPr>
        <w:t xml:space="preserve">第二章 投标人须知</w:t>
      </w:r>
      <w:bookmarkEnd w:id="41"/>
      <w:r/>
      <w:bookmarkEnd w:id="42"/>
      <w:r/>
      <w:r/>
    </w:p>
    <w:p>
      <w:pPr>
        <w:ind w:firstLine="422"/>
        <w:spacing w:line="360" w:lineRule="auto"/>
        <w:rPr>
          <w:rFonts w:hint="eastAsia" w:ascii="宋体" w:hAnsi="宋体" w:cs="宋体"/>
          <w:b/>
          <w:szCs w:val="21"/>
        </w:rPr>
      </w:pPr>
      <w:r>
        <w:rPr>
          <w:rFonts w:hint="eastAsia" w:ascii="宋体" w:hAnsi="宋体" w:cs="宋体"/>
          <w:b/>
          <w:szCs w:val="21"/>
        </w:rPr>
        <w:t xml:space="preserve">1、招标方式</w:t>
      </w:r>
      <w:r/>
    </w:p>
    <w:p>
      <w:pPr>
        <w:ind w:firstLine="420"/>
        <w:spacing w:line="440" w:lineRule="exact"/>
        <w:rPr>
          <w:rFonts w:hint="eastAsia"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lang w:eastAsia="zh-CN"/>
        </w:rPr>
        <w:t xml:space="preserve">JSZC-321000-SWGC-G2025-0240号</w:t>
      </w:r>
      <w:r>
        <w:rPr>
          <w:rFonts w:hint="eastAsia" w:ascii="宋体" w:hAnsi="宋体" w:cs="宋体"/>
          <w:bCs/>
          <w:szCs w:val="21"/>
        </w:rPr>
        <w:t xml:space="preserve">项目。</w:t>
      </w:r>
      <w:r/>
    </w:p>
    <w:p>
      <w:pPr>
        <w:ind w:firstLine="422"/>
        <w:spacing w:line="440" w:lineRule="exact"/>
        <w:rPr>
          <w:rFonts w:hint="eastAsia" w:ascii="宋体" w:hAnsi="宋体" w:cs="宋体"/>
          <w:b/>
          <w:szCs w:val="21"/>
        </w:rPr>
      </w:pPr>
      <w:r>
        <w:rPr>
          <w:rFonts w:hint="eastAsia" w:ascii="宋体" w:hAnsi="宋体" w:cs="宋体"/>
          <w:b/>
          <w:szCs w:val="21"/>
        </w:rPr>
        <w:t xml:space="preserve">2、投标人</w:t>
      </w:r>
      <w:r/>
    </w:p>
    <w:p>
      <w:pPr>
        <w:ind w:firstLine="420"/>
        <w:spacing w:line="440" w:lineRule="exact"/>
        <w:rPr>
          <w:rFonts w:hint="eastAsia"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cs="宋体"/>
          <w:bCs/>
          <w:szCs w:val="21"/>
        </w:rPr>
      </w:pPr>
      <w:r>
        <w:rPr>
          <w:rFonts w:hint="eastAsia" w:ascii="宋体" w:hAnsi="宋体" w:cs="宋体"/>
          <w:bCs/>
          <w:szCs w:val="21"/>
        </w:rPr>
        <w:t xml:space="preserve">2.2合格的投标人</w:t>
      </w:r>
      <w:r/>
    </w:p>
    <w:p>
      <w:pPr>
        <w:ind w:firstLine="420"/>
        <w:spacing w:line="440" w:lineRule="exact"/>
        <w:rPr>
          <w:rFonts w:hint="eastAsia" w:ascii="宋体" w:hAnsi="宋体" w:cs="宋体"/>
          <w:bCs/>
          <w:szCs w:val="21"/>
        </w:rPr>
      </w:pPr>
      <w:r>
        <w:rPr>
          <w:rFonts w:hint="eastAsia" w:ascii="宋体" w:hAnsi="宋体" w:cs="宋体"/>
          <w:bCs/>
          <w:szCs w:val="21"/>
        </w:rPr>
        <w:t xml:space="preserve">2.2.1 满足招标公告中供应商的资格条件要求的规定。</w:t>
      </w:r>
      <w:r/>
    </w:p>
    <w:p>
      <w:pPr>
        <w:ind w:firstLine="420"/>
        <w:spacing w:line="440" w:lineRule="exact"/>
        <w:rPr>
          <w:rFonts w:hint="eastAsia" w:ascii="宋体" w:hAnsi="宋体" w:cs="宋体"/>
          <w:bCs/>
          <w:szCs w:val="21"/>
        </w:rPr>
      </w:pPr>
      <w:r>
        <w:rPr>
          <w:rFonts w:hint="eastAsia" w:ascii="宋体" w:hAnsi="宋体" w:cs="宋体"/>
          <w:bCs/>
          <w:szCs w:val="21"/>
        </w:rPr>
        <w:t xml:space="preserve">2.2.2 满足本文件实质性条款的规定。</w:t>
      </w:r>
      <w:r/>
    </w:p>
    <w:p>
      <w:pPr>
        <w:ind w:firstLine="422"/>
        <w:spacing w:line="440" w:lineRule="exact"/>
        <w:rPr>
          <w:rFonts w:hint="eastAsia" w:ascii="宋体" w:hAnsi="宋体" w:cs="宋体"/>
          <w:b/>
          <w:szCs w:val="21"/>
        </w:rPr>
      </w:pPr>
      <w:r>
        <w:rPr>
          <w:rFonts w:hint="eastAsia" w:ascii="宋体" w:hAnsi="宋体" w:cs="宋体"/>
          <w:b/>
          <w:szCs w:val="21"/>
        </w:rPr>
        <w:t xml:space="preserve">3、适用法律</w:t>
      </w:r>
      <w:r/>
    </w:p>
    <w:p>
      <w:pPr>
        <w:ind w:firstLine="420"/>
        <w:spacing w:line="440" w:lineRule="exact"/>
        <w:rPr>
          <w:rFonts w:hint="eastAsia"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ind w:firstLine="422"/>
        <w:spacing w:line="440" w:lineRule="exact"/>
        <w:rPr>
          <w:rFonts w:hint="eastAsia" w:ascii="宋体" w:hAnsi="宋体" w:cs="宋体"/>
          <w:b/>
          <w:szCs w:val="21"/>
        </w:rPr>
      </w:pPr>
      <w:r>
        <w:rPr>
          <w:rFonts w:hint="eastAsia" w:ascii="宋体" w:hAnsi="宋体" w:cs="宋体"/>
          <w:b/>
          <w:szCs w:val="21"/>
        </w:rPr>
        <w:t xml:space="preserve">4、投标费用</w:t>
      </w:r>
      <w:r/>
    </w:p>
    <w:p>
      <w:pPr>
        <w:ind w:firstLine="420"/>
        <w:spacing w:line="360" w:lineRule="auto"/>
        <w:rPr>
          <w:rFonts w:hint="eastAsia" w:ascii="宋体" w:hAnsi="宋体" w:cs="宋体"/>
          <w:bCs/>
          <w:szCs w:val="21"/>
        </w:rPr>
      </w:pPr>
      <w:r>
        <w:rPr>
          <w:rFonts w:hint="eastAsia" w:ascii="宋体" w:hAnsi="宋体" w:cs="宋体"/>
          <w:bCs/>
          <w:szCs w:val="21"/>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4.2本次采购由中标人在领取中标通知书前参照《招标代理服务收费管理暂行办法》(计价格【2002】1980号文)货物类标准的四折一次性支付给招标代理机构代理服务费。</w:t>
      </w:r>
      <w:r/>
    </w:p>
    <w:p>
      <w:pPr>
        <w:ind w:firstLine="420"/>
        <w:spacing w:line="360" w:lineRule="auto"/>
        <w:rPr>
          <w:rFonts w:hint="eastAsia" w:ascii="宋体" w:hAnsi="宋体" w:cs="宋体"/>
          <w:szCs w:val="21"/>
        </w:rPr>
      </w:pPr>
      <w:r>
        <w:rPr>
          <w:rFonts w:hint="eastAsia" w:ascii="宋体" w:hAnsi="宋体" w:cs="宋体"/>
          <w:szCs w:val="21"/>
        </w:rPr>
        <w:t xml:space="preserve">（1）代理服务费以人民币支付；</w:t>
      </w:r>
      <w:r/>
    </w:p>
    <w:p>
      <w:pPr>
        <w:ind w:firstLine="420"/>
        <w:spacing w:line="360" w:lineRule="auto"/>
        <w:rPr>
          <w:rFonts w:hint="eastAsia" w:ascii="宋体" w:hAnsi="宋体" w:cs="宋体"/>
          <w:szCs w:val="21"/>
        </w:rPr>
      </w:pPr>
      <w:r>
        <w:rPr>
          <w:rFonts w:hint="eastAsia" w:ascii="宋体" w:hAnsi="宋体" w:cs="宋体"/>
          <w:szCs w:val="21"/>
        </w:rPr>
        <w:t xml:space="preserve">（2）代理服务费一次性以电汇或转账等非现金形式支付。</w:t>
      </w:r>
      <w:r/>
    </w:p>
    <w:p>
      <w:pPr>
        <w:ind w:firstLine="420"/>
        <w:spacing w:line="360" w:lineRule="auto"/>
        <w:rPr>
          <w:rFonts w:hint="eastAsia" w:ascii="宋体" w:hAnsi="宋体" w:cs="宋体"/>
          <w:szCs w:val="21"/>
        </w:rPr>
      </w:pPr>
      <w:r>
        <w:rPr>
          <w:rFonts w:hint="eastAsia" w:ascii="宋体" w:hAnsi="宋体" w:cs="宋体"/>
          <w:szCs w:val="21"/>
        </w:rPr>
        <w:t xml:space="preserve">（3）代理服务费不在报价中单列，由中标人支付给代理机构。</w:t>
      </w:r>
      <w:r/>
    </w:p>
    <w:p>
      <w:pPr>
        <w:ind w:firstLine="422"/>
        <w:spacing w:line="360" w:lineRule="auto"/>
        <w:rPr>
          <w:rFonts w:hint="eastAsia" w:ascii="宋体" w:hAnsi="宋体" w:cs="宋体"/>
          <w:b/>
          <w:szCs w:val="21"/>
        </w:rPr>
      </w:pPr>
      <w:r>
        <w:rPr>
          <w:rFonts w:hint="eastAsia" w:ascii="宋体" w:hAnsi="宋体" w:cs="宋体"/>
          <w:b/>
          <w:szCs w:val="21"/>
        </w:rPr>
        <w:t xml:space="preserve">代理服务费开户银行：中国工商银行扬州雍华府支行</w:t>
      </w:r>
      <w:r/>
    </w:p>
    <w:p>
      <w:pPr>
        <w:ind w:firstLine="422"/>
        <w:spacing w:line="360" w:lineRule="auto"/>
        <w:rPr>
          <w:rFonts w:hint="eastAsia" w:ascii="宋体" w:hAnsi="宋体" w:cs="宋体"/>
          <w:b/>
          <w:szCs w:val="21"/>
        </w:rPr>
      </w:pPr>
      <w:r>
        <w:rPr>
          <w:rFonts w:hint="eastAsia" w:ascii="宋体" w:hAnsi="宋体" w:cs="宋体"/>
          <w:b/>
          <w:szCs w:val="21"/>
        </w:rPr>
        <w:t xml:space="preserve">               开户名称：江苏苏维工程管理有限公司</w:t>
      </w:r>
      <w:r/>
    </w:p>
    <w:p>
      <w:pPr>
        <w:ind w:firstLine="422"/>
        <w:spacing w:line="360" w:lineRule="auto"/>
        <w:rPr>
          <w:rFonts w:hint="eastAsia" w:ascii="宋体" w:hAnsi="宋体" w:cs="宋体"/>
          <w:b/>
          <w:szCs w:val="21"/>
        </w:rPr>
      </w:pPr>
      <w:r>
        <w:rPr>
          <w:rFonts w:hint="eastAsia" w:ascii="宋体" w:hAnsi="宋体" w:cs="宋体"/>
          <w:b/>
          <w:szCs w:val="21"/>
        </w:rPr>
        <w:t xml:space="preserve">               开户账号：1108020819100000612</w:t>
      </w:r>
      <w:r/>
    </w:p>
    <w:p>
      <w:pPr>
        <w:ind w:firstLine="422"/>
        <w:spacing w:line="360" w:lineRule="auto"/>
        <w:rPr>
          <w:rFonts w:hint="eastAsia" w:ascii="宋体" w:hAnsi="宋体" w:cs="宋体"/>
          <w:b/>
          <w:bCs/>
          <w:szCs w:val="21"/>
        </w:rPr>
      </w:pPr>
      <w:r>
        <w:rPr>
          <w:rFonts w:hint="eastAsia" w:ascii="宋体" w:hAnsi="宋体" w:cs="宋体"/>
          <w:b/>
          <w:bCs/>
          <w:szCs w:val="21"/>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szCs w:val="21"/>
        </w:rPr>
      </w:pPr>
      <w:r>
        <w:rPr>
          <w:rFonts w:hint="eastAsia" w:ascii="宋体" w:hAnsi="宋体" w:cs="宋体"/>
          <w:b/>
          <w:szCs w:val="21"/>
        </w:rPr>
        <w:t xml:space="preserve">5、招标文件的约束力</w:t>
      </w:r>
      <w:r/>
    </w:p>
    <w:p>
      <w:pPr>
        <w:ind w:firstLine="420"/>
        <w:spacing w:line="360" w:lineRule="auto"/>
        <w:rPr>
          <w:rFonts w:hint="eastAsia"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ind w:firstLine="422"/>
        <w:spacing w:line="360" w:lineRule="auto"/>
        <w:rPr>
          <w:rFonts w:hint="eastAsia" w:ascii="宋体" w:hAnsi="宋体" w:cs="宋体"/>
          <w:b/>
          <w:szCs w:val="21"/>
        </w:rPr>
      </w:pPr>
      <w:r>
        <w:rPr>
          <w:rFonts w:hint="eastAsia" w:ascii="宋体" w:hAnsi="宋体" w:cs="宋体"/>
          <w:b/>
          <w:szCs w:val="21"/>
        </w:rPr>
        <w:t xml:space="preserve">6、招标文件构成</w:t>
      </w:r>
      <w:r/>
    </w:p>
    <w:p>
      <w:pPr>
        <w:ind w:firstLine="420"/>
        <w:spacing w:line="360" w:lineRule="auto"/>
        <w:rPr>
          <w:rFonts w:hint="eastAsia" w:ascii="宋体" w:hAnsi="宋体" w:cs="宋体"/>
          <w:bCs/>
          <w:szCs w:val="21"/>
        </w:rPr>
      </w:pPr>
      <w:r>
        <w:rPr>
          <w:rFonts w:hint="eastAsia" w:ascii="宋体" w:hAnsi="宋体" w:cs="宋体"/>
          <w:bCs/>
          <w:szCs w:val="21"/>
        </w:rPr>
        <w:t xml:space="preserve">6.1 招标文件有以下部分组成：</w:t>
      </w:r>
      <w:r/>
    </w:p>
    <w:p>
      <w:pPr>
        <w:ind w:firstLine="420"/>
        <w:spacing w:line="360" w:lineRule="auto"/>
        <w:rPr>
          <w:rFonts w:hint="eastAsia" w:ascii="宋体" w:hAnsi="宋体" w:cs="宋体"/>
          <w:bCs/>
          <w:szCs w:val="21"/>
        </w:rPr>
      </w:pPr>
      <w:r>
        <w:rPr>
          <w:rFonts w:hint="eastAsia" w:ascii="宋体" w:hAnsi="宋体" w:cs="宋体"/>
          <w:bCs/>
          <w:szCs w:val="21"/>
        </w:rPr>
        <w:t xml:space="preserve">（1）招标公告</w:t>
      </w:r>
      <w:r/>
    </w:p>
    <w:p>
      <w:pPr>
        <w:ind w:firstLine="420"/>
        <w:spacing w:line="360" w:lineRule="auto"/>
        <w:rPr>
          <w:rFonts w:hint="eastAsia"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ind w:firstLine="420"/>
        <w:spacing w:line="360" w:lineRule="auto"/>
        <w:rPr>
          <w:rFonts w:hint="eastAsia" w:ascii="宋体" w:hAnsi="宋体" w:cs="宋体"/>
          <w:bCs/>
          <w:szCs w:val="21"/>
        </w:rPr>
      </w:pPr>
      <w:r>
        <w:rPr>
          <w:rFonts w:hint="eastAsia" w:ascii="宋体" w:hAnsi="宋体" w:cs="宋体"/>
          <w:bCs/>
          <w:szCs w:val="21"/>
        </w:rPr>
        <w:t xml:space="preserve">（3）合同条款及格式</w:t>
      </w:r>
      <w:r/>
    </w:p>
    <w:p>
      <w:pPr>
        <w:ind w:firstLine="420"/>
        <w:spacing w:line="360" w:lineRule="auto"/>
        <w:rPr>
          <w:rFonts w:hint="eastAsia" w:ascii="宋体" w:hAnsi="宋体" w:cs="宋体"/>
          <w:bCs/>
          <w:szCs w:val="21"/>
        </w:rPr>
      </w:pPr>
      <w:r>
        <w:rPr>
          <w:rFonts w:hint="eastAsia" w:ascii="宋体" w:hAnsi="宋体" w:cs="宋体"/>
          <w:bCs/>
          <w:szCs w:val="21"/>
        </w:rPr>
        <w:t xml:space="preserve">（4）项目需求</w:t>
      </w:r>
      <w:r/>
    </w:p>
    <w:p>
      <w:pPr>
        <w:ind w:firstLine="420"/>
        <w:spacing w:line="360" w:lineRule="auto"/>
        <w:rPr>
          <w:rFonts w:hint="eastAsia" w:ascii="宋体" w:hAnsi="宋体" w:cs="宋体"/>
          <w:bCs/>
          <w:szCs w:val="21"/>
        </w:rPr>
      </w:pPr>
      <w:r>
        <w:rPr>
          <w:rFonts w:hint="eastAsia" w:ascii="宋体" w:hAnsi="宋体" w:cs="宋体"/>
          <w:bCs/>
          <w:szCs w:val="21"/>
        </w:rPr>
        <w:t xml:space="preserve">（5）评标方法与评标标准</w:t>
      </w:r>
      <w:r/>
    </w:p>
    <w:p>
      <w:pPr>
        <w:ind w:firstLine="420"/>
        <w:spacing w:line="360" w:lineRule="auto"/>
        <w:rPr>
          <w:rFonts w:hint="eastAsia" w:ascii="宋体" w:hAnsi="宋体" w:cs="宋体"/>
          <w:bCs/>
          <w:szCs w:val="21"/>
        </w:rPr>
      </w:pPr>
      <w:r>
        <w:rPr>
          <w:rFonts w:hint="eastAsia" w:ascii="宋体" w:hAnsi="宋体" w:cs="宋体"/>
          <w:bCs/>
          <w:szCs w:val="21"/>
        </w:rPr>
        <w:t xml:space="preserve">（6）投标文件格式</w:t>
      </w:r>
      <w:r/>
    </w:p>
    <w:p>
      <w:pPr>
        <w:ind w:firstLine="420"/>
        <w:spacing w:line="360" w:lineRule="auto"/>
        <w:rPr>
          <w:rFonts w:hint="eastAsia"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ind w:firstLine="420"/>
        <w:spacing w:line="360" w:lineRule="auto"/>
        <w:rPr>
          <w:rFonts w:hint="eastAsia"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7、招标文件的澄清</w:t>
      </w:r>
      <w:r/>
    </w:p>
    <w:p>
      <w:pPr>
        <w:ind w:firstLine="420"/>
        <w:spacing w:line="360" w:lineRule="auto"/>
        <w:rPr>
          <w:rFonts w:hint="eastAsia"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szCs w:val="21"/>
        </w:rPr>
      </w:pPr>
      <w:r>
        <w:rPr>
          <w:rFonts w:hint="eastAsia" w:ascii="宋体" w:hAnsi="宋体" w:cs="宋体"/>
          <w:b/>
          <w:szCs w:val="21"/>
        </w:rPr>
        <w:t xml:space="preserve">8、招标文件的修改</w:t>
      </w:r>
      <w:r/>
    </w:p>
    <w:p>
      <w:pPr>
        <w:ind w:firstLine="420"/>
        <w:spacing w:line="360" w:lineRule="auto"/>
        <w:rPr>
          <w:rFonts w:hint="eastAsia" w:ascii="宋体" w:hAnsi="宋体" w:cs="宋体"/>
          <w:bCs/>
          <w:szCs w:val="21"/>
        </w:rPr>
      </w:pPr>
      <w:r>
        <w:rPr>
          <w:rFonts w:hint="eastAsia" w:ascii="宋体" w:hAnsi="宋体" w:cs="宋体"/>
          <w:bCs/>
          <w:szCs w:val="21"/>
        </w:rPr>
        <w:t xml:space="preserve">8.1 在投标截止时间前，代理机构可以对招标文件进行修改。</w:t>
      </w:r>
      <w:r/>
    </w:p>
    <w:p>
      <w:pPr>
        <w:ind w:firstLine="420"/>
        <w:spacing w:line="360" w:lineRule="auto"/>
        <w:rPr>
          <w:rFonts w:hint="eastAsia"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szCs w:val="21"/>
        </w:rPr>
      </w:pPr>
      <w:r>
        <w:rPr>
          <w:rFonts w:hint="eastAsia" w:ascii="宋体" w:hAnsi="宋体" w:cs="宋体"/>
          <w:bCs/>
          <w:szCs w:val="21"/>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szCs w:val="21"/>
        </w:rPr>
      </w:pPr>
      <w:r>
        <w:rPr>
          <w:rFonts w:hint="eastAsia" w:ascii="宋体" w:hAnsi="宋体" w:cs="宋体"/>
          <w:b/>
          <w:szCs w:val="21"/>
        </w:rPr>
        <w:t xml:space="preserve">9、投标文件的语言、度量衡单位、货币</w:t>
      </w:r>
      <w:r/>
    </w:p>
    <w:p>
      <w:pPr>
        <w:ind w:firstLine="420"/>
        <w:spacing w:line="360" w:lineRule="auto"/>
        <w:rPr>
          <w:rFonts w:hint="eastAsia"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cs="宋体"/>
          <w:bCs/>
          <w:szCs w:val="21"/>
        </w:rPr>
      </w:pPr>
      <w:r>
        <w:rPr>
          <w:rFonts w:hint="eastAsia" w:ascii="宋体" w:hAnsi="宋体" w:cs="宋体"/>
          <w:bCs/>
          <w:szCs w:val="21"/>
        </w:rPr>
        <w:t xml:space="preserve">9.3投标人应使用人民币报价。</w:t>
      </w:r>
      <w:r/>
    </w:p>
    <w:p>
      <w:pPr>
        <w:ind w:firstLine="422"/>
        <w:spacing w:line="360" w:lineRule="auto"/>
        <w:rPr>
          <w:rFonts w:hint="eastAsia" w:ascii="宋体" w:hAnsi="宋体" w:cs="宋体"/>
          <w:b/>
          <w:szCs w:val="21"/>
        </w:rPr>
      </w:pPr>
      <w:r>
        <w:rPr>
          <w:rFonts w:hint="eastAsia" w:ascii="宋体" w:hAnsi="宋体" w:cs="宋体"/>
          <w:b/>
          <w:szCs w:val="21"/>
        </w:rPr>
        <w:t xml:space="preserve">10、投标文件构成</w:t>
      </w:r>
      <w:r/>
    </w:p>
    <w:p>
      <w:pPr>
        <w:ind w:firstLine="420"/>
        <w:spacing w:line="360" w:lineRule="auto"/>
        <w:rPr>
          <w:rFonts w:hint="eastAsia" w:ascii="宋体" w:hAnsi="宋体" w:cs="宋体"/>
          <w:bCs/>
          <w:szCs w:val="21"/>
        </w:rPr>
      </w:pPr>
      <w:r>
        <w:rPr>
          <w:rFonts w:hint="eastAsia" w:ascii="宋体" w:hAnsi="宋体" w:cs="宋体"/>
          <w:bCs/>
          <w:szCs w:val="21"/>
        </w:rPr>
        <w:t xml:space="preserve">10.1投标文件由以下部分组成</w:t>
      </w:r>
      <w:r/>
    </w:p>
    <w:p>
      <w:pPr>
        <w:ind w:firstLine="420"/>
        <w:spacing w:line="360" w:lineRule="auto"/>
        <w:rPr>
          <w:rFonts w:hint="eastAsia" w:ascii="宋体" w:hAnsi="宋体" w:cs="宋体"/>
          <w:bCs/>
          <w:szCs w:val="21"/>
        </w:rPr>
      </w:pPr>
      <w:r>
        <w:rPr>
          <w:rFonts w:hint="eastAsia" w:ascii="宋体" w:hAnsi="宋体" w:cs="宋体"/>
          <w:bCs/>
          <w:szCs w:val="21"/>
        </w:rPr>
        <w:t xml:space="preserve">（1）资格审查响应对照表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（2）符合性审查响应对照表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（3）非实质性响应对照表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（4）开标一览表 </w:t>
      </w:r>
      <w:r/>
    </w:p>
    <w:p>
      <w:pPr>
        <w:ind w:firstLine="420"/>
        <w:spacing w:line="360" w:lineRule="auto"/>
        <w:rPr>
          <w:rFonts w:hint="eastAsia" w:ascii="宋体" w:hAnsi="宋体" w:cs="宋体"/>
          <w:bCs/>
          <w:szCs w:val="21"/>
        </w:rPr>
      </w:pPr>
      <w:r>
        <w:rPr>
          <w:rFonts w:hint="eastAsia" w:ascii="宋体" w:hAnsi="宋体" w:cs="宋体"/>
          <w:bCs/>
          <w:szCs w:val="21"/>
        </w:rPr>
        <w:t xml:space="preserve">（5）分项报价表 </w:t>
      </w:r>
      <w:r/>
    </w:p>
    <w:p>
      <w:pPr>
        <w:ind w:firstLine="420"/>
        <w:spacing w:line="360" w:lineRule="auto"/>
        <w:rPr>
          <w:rFonts w:hint="eastAsia" w:ascii="宋体" w:hAnsi="宋体" w:cs="宋体"/>
          <w:bCs/>
          <w:szCs w:val="21"/>
        </w:rPr>
      </w:pPr>
      <w:r>
        <w:rPr>
          <w:rFonts w:hint="eastAsia" w:ascii="宋体" w:hAnsi="宋体" w:cs="宋体"/>
          <w:bCs/>
          <w:szCs w:val="21"/>
        </w:rPr>
        <w:t xml:space="preserve">（6）技术参数响应及偏离表 </w:t>
      </w:r>
      <w:r/>
    </w:p>
    <w:p>
      <w:pPr>
        <w:ind w:firstLine="420"/>
        <w:spacing w:line="360" w:lineRule="auto"/>
        <w:rPr>
          <w:rFonts w:hint="eastAsia" w:ascii="宋体" w:hAnsi="宋体" w:cs="宋体"/>
          <w:bCs/>
          <w:szCs w:val="21"/>
        </w:rPr>
      </w:pPr>
      <w:r>
        <w:rPr>
          <w:rFonts w:hint="eastAsia" w:ascii="宋体" w:hAnsi="宋体" w:cs="宋体"/>
          <w:bCs/>
          <w:szCs w:val="21"/>
        </w:rPr>
        <w:t xml:space="preserve">（7）商务条款响应及偏离表 </w:t>
      </w:r>
      <w:r/>
    </w:p>
    <w:p>
      <w:pPr>
        <w:ind w:firstLine="420"/>
        <w:spacing w:line="360" w:lineRule="auto"/>
        <w:rPr>
          <w:rFonts w:hint="eastAsia" w:ascii="宋体" w:hAnsi="宋体" w:cs="宋体"/>
          <w:bCs/>
          <w:szCs w:val="21"/>
        </w:rPr>
      </w:pPr>
      <w:r>
        <w:rPr>
          <w:rFonts w:hint="eastAsia" w:ascii="宋体" w:hAnsi="宋体" w:cs="宋体"/>
          <w:bCs/>
          <w:szCs w:val="21"/>
        </w:rPr>
        <w:t xml:space="preserve">（8）其他 （投标人认为有必要提供的声明和文件，如有自拟并自行添加）</w:t>
      </w:r>
      <w:r/>
    </w:p>
    <w:p>
      <w:pPr>
        <w:ind w:firstLine="420"/>
        <w:spacing w:line="360" w:lineRule="auto"/>
        <w:rPr>
          <w:rFonts w:hint="eastAsia"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szCs w:val="21"/>
        </w:rPr>
      </w:pPr>
      <w:r>
        <w:rPr>
          <w:rFonts w:hint="eastAsia" w:ascii="宋体" w:hAnsi="宋体" w:cs="宋体"/>
          <w:b/>
          <w:szCs w:val="21"/>
        </w:rPr>
        <w:t xml:space="preserve">11、证明投标人资格及符合招标文件规定的文件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11.1投标人应按要求提交资格证明文件及符合招标文件规定的文件。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szCs w:val="21"/>
        </w:rPr>
      </w:pPr>
      <w:r>
        <w:rPr>
          <w:rFonts w:hint="eastAsia" w:ascii="宋体" w:hAnsi="宋体" w:cs="宋体"/>
          <w:b/>
          <w:szCs w:val="21"/>
        </w:rPr>
        <w:t xml:space="preserve">12、投标配置与分项报价表</w:t>
      </w:r>
      <w:r/>
    </w:p>
    <w:p>
      <w:pPr>
        <w:ind w:firstLine="420"/>
        <w:spacing w:line="360" w:lineRule="auto"/>
        <w:rPr>
          <w:rFonts w:hint="eastAsia" w:ascii="宋体" w:hAnsi="宋体" w:cs="宋体"/>
          <w:bCs/>
          <w:szCs w:val="21"/>
        </w:rPr>
      </w:pPr>
      <w:r>
        <w:rPr>
          <w:rFonts w:hint="eastAsia" w:ascii="宋体" w:hAnsi="宋体" w:cs="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szCs w:val="21"/>
        </w:rPr>
      </w:pPr>
      <w:r>
        <w:rPr>
          <w:rFonts w:hint="eastAsia" w:ascii="宋体" w:hAnsi="宋体" w:cs="宋体"/>
          <w:bCs/>
          <w:szCs w:val="21"/>
        </w:rPr>
        <w:t xml:space="preserve">12.2 标的物</w:t>
      </w:r>
      <w:r/>
    </w:p>
    <w:p>
      <w:pPr>
        <w:ind w:firstLine="420"/>
        <w:spacing w:line="360" w:lineRule="auto"/>
        <w:rPr>
          <w:rFonts w:hint="eastAsia" w:ascii="宋体" w:hAnsi="宋体" w:cs="宋体"/>
          <w:bCs/>
          <w:szCs w:val="21"/>
        </w:rPr>
      </w:pPr>
      <w:r>
        <w:rPr>
          <w:rFonts w:hint="eastAsia" w:ascii="宋体" w:hAnsi="宋体" w:cs="宋体"/>
          <w:bCs/>
          <w:szCs w:val="21"/>
        </w:rPr>
        <w:t xml:space="preserve">采购人需求的服务供应、安装，调试及有关技术服务等。</w:t>
      </w:r>
      <w:r/>
    </w:p>
    <w:p>
      <w:pPr>
        <w:ind w:firstLine="420"/>
        <w:spacing w:line="360" w:lineRule="auto"/>
        <w:rPr>
          <w:rFonts w:hint="eastAsia" w:ascii="宋体" w:hAnsi="宋体" w:cs="宋体"/>
          <w:bCs/>
          <w:szCs w:val="21"/>
        </w:rPr>
      </w:pPr>
      <w:r>
        <w:rPr>
          <w:rFonts w:hint="eastAsia" w:ascii="宋体" w:hAnsi="宋体" w:cs="宋体"/>
          <w:bCs/>
          <w:szCs w:val="21"/>
        </w:rPr>
        <w:t xml:space="preserve">12.3有关费用处理</w:t>
      </w:r>
      <w:r/>
    </w:p>
    <w:p>
      <w:pPr>
        <w:ind w:firstLine="420"/>
        <w:spacing w:line="360" w:lineRule="auto"/>
        <w:rPr>
          <w:rFonts w:hint="eastAsia" w:ascii="宋体" w:hAnsi="宋体" w:cs="宋体"/>
          <w:bCs/>
          <w:szCs w:val="21"/>
        </w:rPr>
      </w:pPr>
      <w:r>
        <w:rPr>
          <w:rFonts w:hint="eastAsia" w:ascii="宋体" w:hAnsi="宋体" w:cs="宋体"/>
          <w:bCs/>
          <w:szCs w:val="21"/>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szCs w:val="21"/>
        </w:rPr>
      </w:pPr>
      <w:r>
        <w:rPr>
          <w:rFonts w:hint="eastAsia" w:ascii="宋体" w:hAnsi="宋体" w:cs="宋体"/>
          <w:bCs/>
          <w:szCs w:val="21"/>
        </w:rPr>
        <w:t xml:space="preserve">12.4其它费用处理</w:t>
      </w:r>
      <w:r/>
    </w:p>
    <w:p>
      <w:pPr>
        <w:ind w:firstLine="420"/>
        <w:spacing w:line="360" w:lineRule="auto"/>
        <w:rPr>
          <w:rFonts w:hint="eastAsia" w:ascii="宋体" w:hAnsi="宋体" w:cs="宋体"/>
          <w:bCs/>
          <w:szCs w:val="21"/>
        </w:rPr>
      </w:pPr>
      <w:r>
        <w:rPr>
          <w:rFonts w:hint="eastAsia" w:ascii="宋体" w:hAnsi="宋体" w:cs="宋体"/>
          <w:bCs/>
          <w:szCs w:val="21"/>
        </w:rPr>
        <w:t xml:space="preserve">招标文件未列明，而投标人认为必需的费用也需列入报价。</w:t>
      </w:r>
      <w:r/>
    </w:p>
    <w:p>
      <w:pPr>
        <w:ind w:firstLine="420"/>
        <w:spacing w:line="360" w:lineRule="auto"/>
        <w:rPr>
          <w:rFonts w:hint="eastAsia" w:ascii="宋体" w:hAnsi="宋体" w:cs="宋体"/>
          <w:bCs/>
          <w:szCs w:val="21"/>
        </w:rPr>
      </w:pPr>
      <w:r>
        <w:rPr>
          <w:rFonts w:hint="eastAsia" w:ascii="宋体" w:hAnsi="宋体" w:cs="宋体"/>
          <w:bCs/>
          <w:szCs w:val="21"/>
        </w:rPr>
        <w:t xml:space="preserve">12.5投标货币</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12.6 投标配置与分项报价表上的价格应按下列方式分开填写：</w:t>
      </w:r>
      <w:r/>
    </w:p>
    <w:p>
      <w:pPr>
        <w:ind w:firstLine="420"/>
        <w:spacing w:line="360" w:lineRule="auto"/>
        <w:rPr>
          <w:rFonts w:hint="eastAsia" w:ascii="宋体" w:hAnsi="宋体" w:cs="宋体"/>
          <w:bCs/>
          <w:szCs w:val="21"/>
        </w:rPr>
      </w:pPr>
      <w:r>
        <w:rPr>
          <w:rFonts w:hint="eastAsia" w:ascii="宋体" w:hAnsi="宋体" w:cs="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szCs w:val="21"/>
        </w:rPr>
      </w:pPr>
      <w:r>
        <w:rPr>
          <w:rFonts w:hint="eastAsia" w:ascii="宋体" w:hAnsi="宋体" w:cs="宋体"/>
          <w:bCs/>
          <w:szCs w:val="21"/>
        </w:rPr>
        <w:t xml:space="preserve">2、项目单价按投标配置及分项报价表中要求填报。</w:t>
      </w:r>
      <w:r/>
    </w:p>
    <w:p>
      <w:pPr>
        <w:ind w:firstLine="422"/>
        <w:spacing w:line="360" w:lineRule="auto"/>
        <w:rPr>
          <w:rFonts w:hint="eastAsia" w:ascii="宋体" w:hAnsi="宋体" w:cs="宋体"/>
          <w:b/>
          <w:szCs w:val="21"/>
        </w:rPr>
      </w:pPr>
      <w:r>
        <w:rPr>
          <w:rFonts w:hint="eastAsia" w:ascii="宋体" w:hAnsi="宋体" w:cs="宋体"/>
          <w:b/>
          <w:szCs w:val="21"/>
        </w:rPr>
        <w:t xml:space="preserve">13、技术参数响应及偏离表、商务条款响应及偏离表及投标货物说明</w:t>
      </w:r>
      <w:r/>
    </w:p>
    <w:p>
      <w:pPr>
        <w:ind w:firstLine="420"/>
        <w:spacing w:line="360" w:lineRule="auto"/>
        <w:rPr>
          <w:rFonts w:hint="eastAsia"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ind w:firstLine="420"/>
        <w:spacing w:line="360" w:lineRule="auto"/>
        <w:rPr>
          <w:rFonts w:hint="eastAsia" w:ascii="宋体" w:hAnsi="宋体" w:cs="宋体"/>
          <w:bCs/>
          <w:szCs w:val="21"/>
        </w:rPr>
      </w:pPr>
      <w:r>
        <w:rPr>
          <w:rFonts w:hint="eastAsia" w:ascii="宋体" w:hAnsi="宋体" w:cs="宋体"/>
          <w:bCs/>
          <w:szCs w:val="21"/>
        </w:rPr>
        <w:t xml:space="preserve">13.2 提供参加本项目类似案例简介；</w:t>
      </w:r>
      <w:r/>
    </w:p>
    <w:p>
      <w:pPr>
        <w:ind w:firstLine="420"/>
        <w:spacing w:line="360" w:lineRule="auto"/>
        <w:rPr>
          <w:rFonts w:hint="eastAsia" w:ascii="宋体" w:hAnsi="宋体" w:cs="宋体"/>
          <w:bCs/>
          <w:szCs w:val="21"/>
        </w:rPr>
      </w:pPr>
      <w:r>
        <w:rPr>
          <w:rFonts w:hint="eastAsia" w:ascii="宋体" w:hAnsi="宋体" w:cs="宋体"/>
          <w:bCs/>
          <w:szCs w:val="21"/>
        </w:rPr>
        <w:t xml:space="preserve">13.3 培训计划；</w:t>
      </w:r>
      <w:r/>
    </w:p>
    <w:p>
      <w:pPr>
        <w:ind w:firstLine="420"/>
        <w:spacing w:line="360" w:lineRule="auto"/>
        <w:rPr>
          <w:rFonts w:hint="eastAsia" w:ascii="宋体" w:hAnsi="宋体" w:cs="宋体"/>
          <w:bCs/>
          <w:szCs w:val="21"/>
        </w:rPr>
      </w:pPr>
      <w:r>
        <w:rPr>
          <w:rFonts w:hint="eastAsia" w:ascii="宋体" w:hAnsi="宋体" w:cs="宋体"/>
          <w:bCs/>
          <w:szCs w:val="21"/>
        </w:rPr>
        <w:t xml:space="preserve">13.4 详细阐述所投货物的主要组成部分、功能设计、实现思路及关键技术；</w:t>
      </w:r>
      <w:r/>
    </w:p>
    <w:p>
      <w:pPr>
        <w:ind w:firstLine="420"/>
        <w:spacing w:line="360" w:lineRule="auto"/>
        <w:rPr>
          <w:rFonts w:hint="eastAsia" w:ascii="宋体" w:hAnsi="宋体" w:cs="宋体"/>
          <w:bCs/>
          <w:szCs w:val="21"/>
        </w:rPr>
      </w:pPr>
      <w:r>
        <w:rPr>
          <w:rFonts w:hint="eastAsia" w:ascii="宋体" w:hAnsi="宋体" w:cs="宋体"/>
          <w:bCs/>
          <w:szCs w:val="21"/>
        </w:rPr>
        <w:t xml:space="preserve">13.5 投标人认为需要的其他技术文件或说明。</w:t>
      </w:r>
      <w:r/>
    </w:p>
    <w:p>
      <w:pPr>
        <w:ind w:firstLine="422"/>
        <w:spacing w:line="360" w:lineRule="auto"/>
        <w:rPr>
          <w:rFonts w:hint="eastAsia" w:ascii="宋体" w:hAnsi="宋体" w:cs="宋体"/>
          <w:b/>
          <w:szCs w:val="21"/>
        </w:rPr>
      </w:pPr>
      <w:r>
        <w:rPr>
          <w:rFonts w:hint="eastAsia" w:ascii="宋体" w:hAnsi="宋体" w:cs="宋体"/>
          <w:b/>
          <w:szCs w:val="21"/>
        </w:rPr>
        <w:t xml:space="preserve">14、服务承诺及售后服务机构、人员的情况介绍</w:t>
      </w:r>
      <w:r/>
    </w:p>
    <w:p>
      <w:pPr>
        <w:ind w:firstLine="420"/>
        <w:spacing w:line="360" w:lineRule="auto"/>
        <w:rPr>
          <w:rFonts w:hint="eastAsia" w:ascii="宋体" w:hAnsi="宋体" w:cs="宋体"/>
          <w:bCs/>
          <w:szCs w:val="21"/>
        </w:rPr>
      </w:pPr>
      <w:r>
        <w:rPr>
          <w:rFonts w:hint="eastAsia" w:ascii="宋体" w:hAnsi="宋体" w:cs="宋体"/>
          <w:bCs/>
          <w:szCs w:val="21"/>
        </w:rPr>
        <w:t xml:space="preserve">14.1投标人的服务承诺应按不低于招标文件中商务要求的标准。</w:t>
      </w:r>
      <w:r/>
    </w:p>
    <w:p>
      <w:pPr>
        <w:ind w:firstLine="420"/>
        <w:spacing w:line="360" w:lineRule="auto"/>
        <w:rPr>
          <w:rFonts w:hint="eastAsia"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szCs w:val="21"/>
        </w:rPr>
      </w:pPr>
      <w:r>
        <w:rPr>
          <w:rFonts w:hint="eastAsia" w:ascii="宋体" w:hAnsi="宋体" w:cs="宋体"/>
          <w:b/>
          <w:szCs w:val="21"/>
        </w:rPr>
        <w:t xml:space="preserve">15、投标函和开标一览表</w:t>
      </w:r>
      <w:r/>
    </w:p>
    <w:p>
      <w:pPr>
        <w:ind w:firstLine="420"/>
        <w:spacing w:line="360" w:lineRule="auto"/>
        <w:rPr>
          <w:rFonts w:hint="eastAsia"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ind w:firstLine="420"/>
        <w:spacing w:line="360" w:lineRule="auto"/>
        <w:rPr>
          <w:rFonts w:hint="eastAsia"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szCs w:val="21"/>
        </w:rPr>
      </w:pPr>
      <w:r>
        <w:rPr>
          <w:rFonts w:hint="eastAsia" w:ascii="宋体" w:hAnsi="宋体" w:cs="宋体"/>
          <w:b/>
          <w:szCs w:val="21"/>
        </w:rPr>
        <w:t xml:space="preserve">16、投标有效期</w:t>
      </w:r>
      <w:r/>
    </w:p>
    <w:p>
      <w:pPr>
        <w:ind w:firstLine="420"/>
        <w:spacing w:line="360" w:lineRule="auto"/>
        <w:rPr>
          <w:rFonts w:hint="eastAsia"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szCs w:val="21"/>
        </w:rPr>
      </w:pPr>
      <w:r/>
      <w:bookmarkStart w:id="43" w:name="_Toc513029225"/>
      <w:r/>
      <w:bookmarkStart w:id="44" w:name="_Toc16938541"/>
      <w:r/>
      <w:bookmarkStart w:id="45" w:name="_Toc462564084"/>
      <w:r/>
      <w:bookmarkStart w:id="46" w:name="_Toc20823297"/>
      <w:r>
        <w:rPr>
          <w:rFonts w:hint="eastAsia" w:ascii="宋体" w:hAnsi="宋体" w:cs="宋体"/>
          <w:b/>
          <w:szCs w:val="21"/>
        </w:rPr>
        <w:t xml:space="preserve">17、投标文件</w:t>
      </w:r>
      <w:bookmarkEnd w:id="43"/>
      <w:r/>
      <w:bookmarkEnd w:id="44"/>
      <w:r/>
      <w:bookmarkEnd w:id="45"/>
      <w:r/>
      <w:bookmarkEnd w:id="46"/>
      <w:r>
        <w:rPr>
          <w:rFonts w:hint="eastAsia" w:ascii="宋体" w:hAnsi="宋体" w:cs="宋体"/>
          <w:b/>
          <w:szCs w:val="21"/>
        </w:rPr>
        <w:t xml:space="preserve">的递交</w:t>
      </w:r>
      <w:r/>
    </w:p>
    <w:p>
      <w:pPr>
        <w:ind w:firstLine="420"/>
        <w:spacing w:line="360" w:lineRule="auto"/>
        <w:rPr>
          <w:rFonts w:hint="eastAsia"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
    </w:p>
    <w:p>
      <w:pPr>
        <w:ind w:firstLine="420"/>
        <w:spacing w:line="360" w:lineRule="auto"/>
        <w:rPr>
          <w:rFonts w:hint="eastAsia" w:ascii="宋体" w:hAnsi="宋体" w:cs="宋体"/>
          <w:bCs/>
          <w:szCs w:val="21"/>
        </w:rPr>
      </w:pPr>
      <w:r>
        <w:rPr>
          <w:rFonts w:hint="eastAsia" w:ascii="宋体" w:hAnsi="宋体" w:cs="宋体"/>
          <w:bCs/>
          <w:szCs w:val="21"/>
        </w:rPr>
        <w:t xml:space="preserve">17.2政府采购管理交易系统（苏采云）相关要求是本招标文件的组成部分。</w:t>
      </w:r>
      <w:r/>
    </w:p>
    <w:p>
      <w:pPr>
        <w:ind w:firstLine="420"/>
        <w:spacing w:line="360" w:lineRule="auto"/>
        <w:rPr>
          <w:rFonts w:hint="eastAsia" w:ascii="宋体" w:hAnsi="宋体" w:cs="宋体"/>
          <w:bCs/>
          <w:szCs w:val="21"/>
        </w:rPr>
      </w:pPr>
      <w:r>
        <w:rPr>
          <w:rFonts w:hint="eastAsia" w:ascii="宋体" w:hAnsi="宋体" w:cs="宋体"/>
          <w:bCs/>
          <w:szCs w:val="21"/>
        </w:rPr>
        <w:t xml:space="preserve">17.3投标人应对 CA 证书妥善保管，如被他人盗用投标，因此带来的结果均由投标人自行承担。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17.4投标人应当对招标文件提出的要求和条件作出实质性响应，并在电子投标系统逐条应答。</w:t>
      </w:r>
      <w:r/>
    </w:p>
    <w:p>
      <w:pPr>
        <w:ind w:firstLine="420"/>
        <w:spacing w:line="360" w:lineRule="auto"/>
        <w:rPr>
          <w:rFonts w:hint="eastAsia" w:ascii="宋体" w:hAnsi="宋体" w:cs="宋体"/>
          <w:bCs/>
          <w:szCs w:val="21"/>
        </w:rPr>
      </w:pPr>
      <w:r>
        <w:rPr>
          <w:rFonts w:hint="eastAsia" w:ascii="宋体" w:hAnsi="宋体" w:cs="宋体"/>
          <w:bCs/>
          <w:szCs w:val="21"/>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szCs w:val="21"/>
        </w:rPr>
      </w:pPr>
      <w:r>
        <w:rPr>
          <w:rFonts w:hint="eastAsia" w:ascii="宋体" w:hAnsi="宋体" w:cs="宋体"/>
          <w:bCs/>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rPr>
      </w:pPr>
      <w:r>
        <w:rPr>
          <w:rFonts w:hint="eastAsia" w:ascii="宋体" w:hAnsi="宋体" w:cs="宋体"/>
          <w:bCs/>
          <w:szCs w:val="21"/>
        </w:rPr>
        <w:t xml:space="preserve">17.7各投标人应在规定时间内凭CA证书进行网上解密。</w:t>
      </w:r>
      <w:r/>
    </w:p>
    <w:p>
      <w:pPr>
        <w:ind w:firstLine="422"/>
        <w:spacing w:line="360" w:lineRule="auto"/>
        <w:rPr>
          <w:rFonts w:hint="eastAsia" w:ascii="宋体" w:hAnsi="宋体" w:cs="宋体"/>
          <w:b/>
          <w:szCs w:val="21"/>
        </w:rPr>
      </w:pPr>
      <w:r>
        <w:rPr>
          <w:rFonts w:hint="eastAsia" w:ascii="宋体" w:hAnsi="宋体" w:cs="宋体"/>
          <w:b/>
          <w:szCs w:val="21"/>
        </w:rPr>
        <w:t xml:space="preserve">18、投标截止日期</w:t>
      </w:r>
      <w:bookmarkEnd w:id="47"/>
      <w:r/>
      <w:bookmarkEnd w:id="48"/>
      <w:r/>
      <w:bookmarkEnd w:id="49"/>
      <w:r/>
      <w:r/>
    </w:p>
    <w:p>
      <w:pPr>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szCs w:val="21"/>
        </w:rPr>
      </w:pPr>
      <w:r/>
      <w:bookmarkStart w:id="50" w:name="_Toc16938543"/>
      <w:r/>
      <w:bookmarkStart w:id="51" w:name="_Toc513029227"/>
      <w:r/>
      <w:bookmarkStart w:id="52" w:name="_Toc20823299"/>
      <w:r>
        <w:rPr>
          <w:rFonts w:hint="eastAsia" w:ascii="宋体" w:hAnsi="宋体" w:cs="宋体"/>
          <w:b/>
          <w:szCs w:val="21"/>
        </w:rPr>
        <w:t xml:space="preserve">19、投标文件</w:t>
      </w:r>
      <w:bookmarkEnd w:id="50"/>
      <w:r/>
      <w:bookmarkEnd w:id="51"/>
      <w:r/>
      <w:bookmarkEnd w:id="52"/>
      <w:r>
        <w:rPr>
          <w:rFonts w:hint="eastAsia" w:ascii="宋体" w:hAnsi="宋体" w:cs="宋体"/>
          <w:b/>
          <w:szCs w:val="21"/>
        </w:rPr>
        <w:t xml:space="preserve">的拒收</w:t>
      </w:r>
      <w:r/>
    </w:p>
    <w:p>
      <w:pPr>
        <w:ind w:firstLine="420"/>
        <w:spacing w:line="360" w:lineRule="auto"/>
        <w:rPr>
          <w:rFonts w:hint="eastAsia"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ind w:firstLine="422"/>
        <w:spacing w:line="360" w:lineRule="auto"/>
        <w:rPr>
          <w:rFonts w:hint="eastAsia" w:ascii="宋体" w:hAnsi="宋体" w:cs="宋体"/>
          <w:b/>
          <w:szCs w:val="21"/>
        </w:rPr>
      </w:pPr>
      <w:r/>
      <w:bookmarkStart w:id="53" w:name="_Toc20823300"/>
      <w:r/>
      <w:bookmarkStart w:id="54" w:name="_Toc513029228"/>
      <w:r/>
      <w:bookmarkStart w:id="55" w:name="_Toc16938544"/>
      <w:r>
        <w:rPr>
          <w:rFonts w:hint="eastAsia" w:ascii="宋体" w:hAnsi="宋体" w:cs="宋体"/>
          <w:b/>
          <w:szCs w:val="21"/>
        </w:rPr>
        <w:t xml:space="preserve">20、投标文件的撤回和修改</w:t>
      </w:r>
      <w:bookmarkEnd w:id="53"/>
      <w:r/>
      <w:bookmarkEnd w:id="54"/>
      <w:r/>
      <w:bookmarkEnd w:id="55"/>
      <w:r/>
      <w:r/>
    </w:p>
    <w:p>
      <w:pPr>
        <w:ind w:firstLine="420"/>
        <w:spacing w:line="360" w:lineRule="auto"/>
        <w:rPr>
          <w:rFonts w:hint="eastAsia" w:ascii="宋体" w:hAnsi="宋体" w:cs="宋体"/>
          <w:bCs/>
          <w:szCs w:val="21"/>
        </w:rPr>
      </w:pPr>
      <w:r>
        <w:rPr>
          <w:rFonts w:hint="eastAsia" w:ascii="宋体" w:hAnsi="宋体" w:cs="宋体"/>
          <w:bCs/>
          <w:szCs w:val="21"/>
        </w:rPr>
        <w:t xml:space="preserve">20.1 投标文件的撤回</w:t>
      </w:r>
      <w:r/>
    </w:p>
    <w:p>
      <w:pPr>
        <w:ind w:firstLine="420"/>
        <w:spacing w:line="360" w:lineRule="auto"/>
        <w:rPr>
          <w:rFonts w:hint="eastAsia" w:ascii="宋体" w:hAnsi="宋体" w:cs="宋体"/>
          <w:bCs/>
          <w:szCs w:val="21"/>
        </w:rPr>
      </w:pPr>
      <w:r>
        <w:rPr>
          <w:rFonts w:hint="eastAsia" w:ascii="宋体" w:hAnsi="宋体" w:cs="宋体"/>
          <w:bCs/>
          <w:szCs w:val="21"/>
        </w:rPr>
        <w:t xml:space="preserve">20.1.1 电子投标文件的撤回</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20.1.2 投标人撤回电子投标文件，则认为其不再参与本项目投标活动。</w:t>
      </w:r>
      <w:r/>
    </w:p>
    <w:p>
      <w:pPr>
        <w:ind w:firstLine="420"/>
        <w:spacing w:line="360" w:lineRule="auto"/>
        <w:rPr>
          <w:rFonts w:hint="eastAsia" w:ascii="宋体" w:hAnsi="宋体" w:cs="宋体"/>
          <w:bCs/>
          <w:szCs w:val="21"/>
        </w:rPr>
      </w:pPr>
      <w:r>
        <w:rPr>
          <w:rFonts w:hint="eastAsia" w:ascii="宋体" w:hAnsi="宋体" w:cs="宋体"/>
          <w:bCs/>
          <w:szCs w:val="21"/>
        </w:rPr>
        <w:t xml:space="preserve">20.2 投标文件的修改</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20.3 在投标截止时间之后，投标人不得对其电子投标文件作任何修改。</w:t>
      </w:r>
      <w:r/>
    </w:p>
    <w:p>
      <w:pPr>
        <w:ind w:firstLine="420"/>
        <w:spacing w:line="360" w:lineRule="auto"/>
        <w:rPr>
          <w:rFonts w:hint="eastAsia"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szCs w:val="21"/>
        </w:rPr>
      </w:pPr>
      <w:r>
        <w:rPr>
          <w:rFonts w:hint="eastAsia" w:ascii="宋体" w:hAnsi="宋体" w:cs="宋体"/>
          <w:b/>
          <w:szCs w:val="21"/>
        </w:rPr>
        <w:t xml:space="preserve">21、开标</w:t>
      </w:r>
      <w:r/>
    </w:p>
    <w:p>
      <w:pPr>
        <w:ind w:firstLine="420"/>
        <w:spacing w:line="360" w:lineRule="auto"/>
        <w:rPr>
          <w:rFonts w:hint="eastAsia"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Cs/>
          <w:szCs w:val="21"/>
        </w:rPr>
      </w:pPr>
      <w:r>
        <w:rPr>
          <w:rFonts w:hint="eastAsia" w:ascii="宋体" w:hAnsi="宋体" w:cs="宋体"/>
          <w:bCs/>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szCs w:val="21"/>
        </w:rPr>
      </w:pPr>
      <w:r>
        <w:rPr>
          <w:rFonts w:hint="eastAsia" w:ascii="宋体" w:hAnsi="宋体" w:cs="宋体"/>
          <w:bCs/>
          <w:szCs w:val="21"/>
        </w:rPr>
        <w:t xml:space="preserve">21.3投标人在开标过程中涉及到的投标文件解密、开标结果确认等工作，应按照《操作手册》规定执行。</w:t>
      </w:r>
      <w:r/>
    </w:p>
    <w:p>
      <w:pPr>
        <w:ind w:firstLine="422"/>
        <w:spacing w:line="360" w:lineRule="auto"/>
        <w:rPr>
          <w:rFonts w:hint="eastAsia" w:ascii="宋体" w:hAnsi="宋体" w:cs="宋体"/>
          <w:b/>
          <w:szCs w:val="21"/>
        </w:rPr>
      </w:pPr>
      <w:r>
        <w:rPr>
          <w:rFonts w:hint="eastAsia" w:ascii="宋体" w:hAnsi="宋体" w:cs="宋体"/>
          <w:b/>
          <w:szCs w:val="21"/>
        </w:rPr>
        <w:t xml:space="preserve">22、评标委员会</w:t>
      </w:r>
      <w:r/>
    </w:p>
    <w:p>
      <w:pPr>
        <w:ind w:firstLine="420"/>
        <w:spacing w:line="360" w:lineRule="auto"/>
        <w:rPr>
          <w:rFonts w:hint="eastAsia"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ind w:firstLine="420"/>
        <w:spacing w:line="360" w:lineRule="auto"/>
        <w:rPr>
          <w:rFonts w:hint="eastAsia"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szCs w:val="21"/>
        </w:rPr>
      </w:pPr>
      <w:r>
        <w:rPr>
          <w:rFonts w:hint="eastAsia" w:ascii="宋体" w:hAnsi="宋体" w:cs="宋体"/>
          <w:bCs/>
          <w:szCs w:val="21"/>
        </w:rPr>
        <w:t xml:space="preserve">22.3评委会独立工作，负责评审所有投标文件并确定中标候选人。</w:t>
      </w:r>
      <w:r/>
    </w:p>
    <w:p>
      <w:pPr>
        <w:ind w:firstLine="422"/>
        <w:spacing w:line="360" w:lineRule="auto"/>
        <w:rPr>
          <w:rFonts w:hint="eastAsia" w:ascii="宋体" w:hAnsi="宋体" w:cs="宋体"/>
          <w:b/>
          <w:szCs w:val="21"/>
        </w:rPr>
      </w:pPr>
      <w:r>
        <w:rPr>
          <w:rFonts w:hint="eastAsia" w:ascii="宋体" w:hAnsi="宋体" w:cs="宋体"/>
          <w:b/>
          <w:szCs w:val="21"/>
        </w:rPr>
        <w:t xml:space="preserve">23、评标过程的保密与公正</w:t>
      </w:r>
      <w:r/>
    </w:p>
    <w:p>
      <w:pPr>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p>
    <w:p>
      <w:pPr>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szCs w:val="21"/>
        </w:rPr>
      </w:pPr>
      <w:r>
        <w:rPr>
          <w:rFonts w:hint="eastAsia" w:ascii="宋体" w:hAnsi="宋体" w:cs="宋体"/>
          <w:b/>
          <w:szCs w:val="21"/>
        </w:rPr>
        <w:t xml:space="preserve">24、投标的澄清</w:t>
      </w:r>
      <w:r/>
    </w:p>
    <w:p>
      <w:pPr>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25、对投标文件的初审</w:t>
      </w:r>
      <w:r/>
    </w:p>
    <w:p>
      <w:pPr>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p>
    <w:p>
      <w:pPr>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p>
    <w:p>
      <w:pPr>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p>
    <w:p>
      <w:pPr>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p>
    <w:p>
      <w:pPr>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szCs w:val="21"/>
        </w:rPr>
      </w:pPr>
      <w:r>
        <w:rPr>
          <w:rFonts w:hint="eastAsia" w:ascii="宋体" w:hAnsi="宋体" w:cs="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szCs w:val="21"/>
        </w:rPr>
      </w:pPr>
      <w:r>
        <w:rPr>
          <w:rFonts w:hint="eastAsia" w:ascii="宋体" w:hAnsi="宋体" w:cs="宋体"/>
          <w:bCs/>
          <w:szCs w:val="21"/>
        </w:rPr>
        <w:t xml:space="preserve">非单一产品采购项目，招标文件中将载明其中的核心产品</w:t>
      </w:r>
      <w:r>
        <w:rPr>
          <w:rFonts w:hint="eastAsia" w:ascii="宋体" w:hAnsi="宋体" w:cs="宋体"/>
          <w:b/>
          <w:bCs/>
          <w:szCs w:val="21"/>
          <w:u w:val="single"/>
        </w:rPr>
        <w:t xml:space="preserve">（本项目的核心产品为“ICU数智化管理系统”）</w:t>
      </w:r>
      <w:r>
        <w:rPr>
          <w:rFonts w:hint="eastAsia" w:ascii="宋体" w:hAnsi="宋体" w:cs="宋体"/>
          <w:bCs/>
          <w:szCs w:val="21"/>
        </w:rPr>
        <w:t xml:space="preserve">。多家投标人提供的核心产品品牌相同的，按前两款规定处理。</w:t>
      </w:r>
      <w:r/>
    </w:p>
    <w:p>
      <w:pPr>
        <w:ind w:firstLine="420"/>
        <w:spacing w:line="360" w:lineRule="auto"/>
        <w:rPr>
          <w:rFonts w:hint="eastAsia" w:ascii="宋体" w:hAnsi="宋体" w:cs="宋体"/>
          <w:bCs/>
          <w:szCs w:val="21"/>
        </w:rPr>
      </w:pPr>
      <w:r>
        <w:rPr>
          <w:rFonts w:hint="eastAsia" w:ascii="宋体" w:hAnsi="宋体" w:cs="宋体"/>
          <w:bCs/>
          <w:szCs w:val="21"/>
        </w:rPr>
        <w:t xml:space="preserve">25.8 投标人在开、评标全过程中应保持通讯畅通，并安排专人与代理机构及评委会联系。</w:t>
      </w:r>
      <w:r/>
    </w:p>
    <w:p>
      <w:pPr>
        <w:ind w:firstLine="422"/>
        <w:spacing w:line="360" w:lineRule="auto"/>
        <w:rPr>
          <w:rFonts w:hint="eastAsia" w:ascii="宋体" w:hAnsi="宋体" w:cs="宋体"/>
          <w:b/>
          <w:szCs w:val="21"/>
        </w:rPr>
      </w:pPr>
      <w:r>
        <w:rPr>
          <w:rFonts w:hint="eastAsia" w:ascii="宋体" w:hAnsi="宋体" w:cs="宋体"/>
          <w:b/>
          <w:szCs w:val="21"/>
        </w:rPr>
        <w:t xml:space="preserve">26、无效投标、废标及投标人不足三家的处理</w:t>
      </w:r>
      <w:r/>
    </w:p>
    <w:p>
      <w:pPr>
        <w:ind w:firstLine="420"/>
        <w:spacing w:line="360" w:lineRule="auto"/>
        <w:rPr>
          <w:rFonts w:hint="eastAsia" w:ascii="宋体" w:hAnsi="宋体" w:cs="宋体"/>
          <w:bCs/>
          <w:szCs w:val="21"/>
        </w:rPr>
      </w:pPr>
      <w:r>
        <w:rPr>
          <w:rFonts w:hint="eastAsia" w:ascii="宋体" w:hAnsi="宋体" w:cs="宋体"/>
          <w:bCs/>
          <w:szCs w:val="21"/>
        </w:rPr>
        <w:t xml:space="preserve">26.1无效投标条款</w:t>
      </w:r>
      <w:r/>
    </w:p>
    <w:p>
      <w:pPr>
        <w:ind w:firstLine="420"/>
        <w:spacing w:line="360" w:lineRule="auto"/>
        <w:rPr>
          <w:rFonts w:hint="eastAsia" w:ascii="宋体" w:hAnsi="宋体" w:cs="宋体"/>
          <w:bCs/>
          <w:szCs w:val="21"/>
        </w:rPr>
      </w:pPr>
      <w:r>
        <w:rPr>
          <w:rFonts w:hint="eastAsia" w:ascii="宋体" w:hAnsi="宋体" w:cs="宋体"/>
          <w:bCs/>
          <w:szCs w:val="21"/>
        </w:rPr>
        <w:t xml:space="preserve">26.1.1 投标人未成功解密电子投标文件的。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26.1.2 投标人未按照招标文件要求上传电子投标文件的。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26.1.3投标人在报价时采用选择性报价的。</w:t>
      </w:r>
      <w:r/>
    </w:p>
    <w:p>
      <w:pPr>
        <w:ind w:firstLine="420"/>
        <w:spacing w:line="360" w:lineRule="auto"/>
        <w:rPr>
          <w:rFonts w:hint="eastAsia" w:ascii="宋体" w:hAnsi="宋体" w:cs="宋体"/>
          <w:bCs/>
          <w:szCs w:val="21"/>
        </w:rPr>
      </w:pPr>
      <w:r>
        <w:rPr>
          <w:rFonts w:hint="eastAsia" w:ascii="宋体" w:hAnsi="宋体" w:cs="宋体"/>
          <w:bCs/>
          <w:szCs w:val="21"/>
        </w:rPr>
        <w:t xml:space="preserve">26.1.4投标人不具备招标文件中规定资格要求的。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26.1.5投标人的报价超过了采购预算或最高限价的。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26.1.6未通过符合性审查的。</w:t>
      </w:r>
      <w:r/>
    </w:p>
    <w:p>
      <w:pPr>
        <w:ind w:firstLine="420"/>
        <w:spacing w:line="360" w:lineRule="auto"/>
        <w:rPr>
          <w:rFonts w:hint="eastAsia"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26.1.9  投标文件含有采购人不能接受的附加条件的。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p>
    <w:p>
      <w:pPr>
        <w:ind w:firstLine="422"/>
        <w:spacing w:line="360" w:lineRule="auto"/>
        <w:rPr>
          <w:rFonts w:hint="eastAsia" w:ascii="宋体" w:hAnsi="宋体" w:cs="宋体"/>
          <w:b/>
          <w:szCs w:val="21"/>
        </w:rPr>
      </w:pPr>
      <w:r>
        <w:rPr>
          <w:rFonts w:hint="eastAsia" w:ascii="宋体" w:hAnsi="宋体" w:cs="宋体"/>
          <w:b/>
          <w:szCs w:val="21"/>
        </w:rPr>
        <w:t xml:space="preserve">26.1.13 异常低价投标（响应）</w:t>
      </w:r>
      <w:r/>
    </w:p>
    <w:p>
      <w:pPr>
        <w:ind w:firstLine="422"/>
        <w:spacing w:line="360" w:lineRule="auto"/>
        <w:rPr>
          <w:rFonts w:hint="eastAsia" w:ascii="宋体" w:hAnsi="宋体" w:cs="宋体"/>
          <w:b/>
          <w:szCs w:val="21"/>
        </w:rPr>
      </w:pPr>
      <w:r>
        <w:rPr>
          <w:rFonts w:hint="eastAsia" w:ascii="宋体" w:hAnsi="宋体" w:cs="宋体"/>
          <w:b/>
          <w:szCs w:val="21"/>
        </w:rPr>
        <w:t xml:space="preserve">26.1.13.1投标（响应）报价低于采购项目预算50%的，即投标（响应）报价&lt;采购项目预算×50%；</w:t>
      </w:r>
      <w:r/>
    </w:p>
    <w:p>
      <w:pPr>
        <w:ind w:firstLine="422"/>
        <w:spacing w:line="360" w:lineRule="auto"/>
        <w:rPr>
          <w:rFonts w:hint="eastAsia" w:ascii="宋体" w:hAnsi="宋体" w:cs="宋体"/>
          <w:b/>
          <w:szCs w:val="21"/>
        </w:rPr>
      </w:pPr>
      <w:r>
        <w:rPr>
          <w:rFonts w:hint="eastAsia" w:ascii="宋体" w:hAnsi="宋体" w:cs="宋体"/>
          <w:b/>
          <w:szCs w:val="21"/>
        </w:rPr>
        <w:t xml:space="preserve">26.1.13.2投标（响应）报价低于采购项目最高限价45%的，即投标（响应）报价&lt;采购项目最高限价×45%；</w:t>
      </w:r>
      <w:r/>
    </w:p>
    <w:p>
      <w:pPr>
        <w:ind w:firstLine="422"/>
        <w:spacing w:line="360" w:lineRule="auto"/>
        <w:rPr>
          <w:rFonts w:hint="eastAsia" w:ascii="宋体" w:hAnsi="宋体" w:cs="宋体"/>
          <w:b/>
          <w:szCs w:val="21"/>
        </w:rPr>
      </w:pPr>
      <w:r>
        <w:rPr>
          <w:rFonts w:hint="eastAsia" w:ascii="宋体" w:hAnsi="宋体" w:cs="宋体"/>
          <w:b/>
          <w:szCs w:val="21"/>
        </w:rPr>
        <w:t xml:space="preserve">26.1.13.3评审委员会认定的供应商报价过低、有可能影响产品质量或者不能诚信履约的其他情形。</w:t>
      </w:r>
      <w:r/>
    </w:p>
    <w:p>
      <w:pPr>
        <w:ind w:firstLine="422"/>
        <w:spacing w:line="360" w:lineRule="auto"/>
        <w:rPr>
          <w:rFonts w:hint="eastAsia" w:ascii="宋体" w:hAnsi="宋体" w:cs="宋体"/>
          <w:bCs/>
          <w:szCs w:val="21"/>
        </w:rPr>
      </w:pPr>
      <w:r>
        <w:rPr>
          <w:rFonts w:hint="eastAsia" w:ascii="宋体" w:hAnsi="宋体" w:cs="宋体"/>
          <w:b/>
          <w:szCs w:val="21"/>
        </w:rPr>
        <w:t xml:space="preserve">26.1.13.4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bCs/>
          <w:szCs w:val="21"/>
        </w:rPr>
      </w:pPr>
      <w:r>
        <w:rPr>
          <w:rFonts w:hint="eastAsia" w:ascii="宋体" w:hAnsi="宋体" w:cs="宋体"/>
          <w:bCs/>
          <w:szCs w:val="21"/>
        </w:rPr>
        <w:t xml:space="preserve">26.1.14其他法律、法规及本招标文件规定的属无效投标的情形。</w:t>
      </w:r>
      <w:r/>
    </w:p>
    <w:p>
      <w:pPr>
        <w:ind w:firstLine="420"/>
        <w:spacing w:line="360" w:lineRule="auto"/>
        <w:rPr>
          <w:rFonts w:hint="eastAsia" w:ascii="宋体" w:hAnsi="宋体" w:cs="宋体"/>
          <w:bCs/>
          <w:szCs w:val="21"/>
        </w:rPr>
      </w:pPr>
      <w:r>
        <w:rPr>
          <w:rFonts w:hint="eastAsia" w:ascii="宋体" w:hAnsi="宋体" w:cs="宋体"/>
          <w:bCs/>
          <w:szCs w:val="21"/>
        </w:rPr>
        <w:t xml:space="preserve">26.2废标条款：</w:t>
      </w:r>
      <w:r/>
    </w:p>
    <w:p>
      <w:pPr>
        <w:ind w:firstLine="420"/>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26.2.2出现影响采购公正的违法、违规行为的。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p>
    <w:p>
      <w:pPr>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p>
    <w:p>
      <w:pPr>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p>
    <w:p>
      <w:pPr>
        <w:ind w:firstLine="420"/>
        <w:spacing w:line="360" w:lineRule="auto"/>
        <w:rPr>
          <w:rFonts w:hint="eastAsia"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szCs w:val="21"/>
        </w:rPr>
      </w:pPr>
      <w:r>
        <w:rPr>
          <w:rFonts w:hint="eastAsia" w:ascii="宋体" w:hAnsi="宋体" w:cs="宋体"/>
          <w:b/>
          <w:szCs w:val="21"/>
        </w:rPr>
        <w:t xml:space="preserve">27、确定中标单位</w:t>
      </w:r>
      <w:r/>
    </w:p>
    <w:p>
      <w:pPr>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p>
    <w:p>
      <w:pPr>
        <w:ind w:firstLine="420"/>
        <w:spacing w:line="360" w:lineRule="auto"/>
        <w:rPr>
          <w:rFonts w:hint="eastAsia" w:ascii="宋体" w:hAnsi="宋体" w:cs="宋体"/>
          <w:bCs/>
          <w:szCs w:val="21"/>
        </w:rPr>
      </w:pPr>
      <w:r>
        <w:rPr>
          <w:rFonts w:hint="eastAsia" w:ascii="宋体" w:hAnsi="宋体" w:cs="宋体"/>
          <w:bCs/>
          <w:szCs w:val="21"/>
        </w:rPr>
        <w:t xml:space="preserve">27.3代理机构将在“扬州市政府采购网”、“江苏省政府采购网”和“中国政府采购网”发布中标公告，公告期限为1个工作日。</w:t>
      </w:r>
      <w:r/>
    </w:p>
    <w:p>
      <w:pPr>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p>
    <w:p>
      <w:pPr>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p>
    <w:p>
      <w:pPr>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p>
    <w:p>
      <w:pPr>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p>
    <w:p>
      <w:pPr>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p>
    <w:p>
      <w:pPr>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p>
    <w:p>
      <w:pPr>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p>
    <w:p>
      <w:pPr>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p>
    <w:p>
      <w:pPr>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p>
    <w:p>
      <w:pPr>
        <w:ind w:firstLine="422"/>
        <w:spacing w:line="360" w:lineRule="auto"/>
        <w:rPr>
          <w:rFonts w:hint="eastAsia" w:ascii="宋体" w:hAnsi="宋体" w:cs="宋体"/>
          <w:b/>
          <w:szCs w:val="21"/>
        </w:rPr>
      </w:pPr>
      <w:r>
        <w:rPr>
          <w:rFonts w:hint="eastAsia" w:ascii="宋体" w:hAnsi="宋体" w:cs="宋体"/>
          <w:b/>
          <w:szCs w:val="21"/>
        </w:rPr>
        <w:t xml:space="preserve">28、质疑处理</w:t>
      </w:r>
      <w:r/>
    </w:p>
    <w:p>
      <w:pPr>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ind w:firstLine="420"/>
        <w:spacing w:line="360" w:lineRule="auto"/>
        <w:rPr>
          <w:rFonts w:hint="eastAsia"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szCs w:val="21"/>
        </w:rPr>
      </w:pPr>
      <w:r>
        <w:rPr>
          <w:rFonts w:hint="eastAsia" w:ascii="宋体" w:hAnsi="宋体" w:cs="宋体"/>
          <w:bCs/>
          <w:szCs w:val="21"/>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p>
    <w:p>
      <w:pPr>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p>
    <w:p>
      <w:pPr>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szCs w:val="21"/>
        </w:rPr>
      </w:pPr>
      <w:r>
        <w:rPr>
          <w:rFonts w:hint="eastAsia" w:ascii="宋体" w:hAnsi="宋体" w:cs="宋体"/>
          <w:b/>
          <w:szCs w:val="21"/>
        </w:rPr>
        <w:t xml:space="preserve">29、中标通知书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szCs w:val="21"/>
        </w:rPr>
      </w:pPr>
      <w:r>
        <w:rPr>
          <w:rFonts w:hint="eastAsia" w:ascii="宋体" w:hAnsi="宋体" w:cs="宋体"/>
          <w:b/>
          <w:szCs w:val="21"/>
        </w:rPr>
        <w:t xml:space="preserve">30、 签订合同</w:t>
      </w:r>
      <w:r/>
    </w:p>
    <w:p>
      <w:pPr>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szCs w:val="21"/>
        </w:rPr>
      </w:pPr>
      <w:r>
        <w:rPr>
          <w:rFonts w:hint="eastAsia" w:ascii="宋体" w:hAnsi="宋体" w:cs="宋体"/>
          <w:b/>
          <w:szCs w:val="21"/>
        </w:rPr>
        <w:t xml:space="preserve">31、电子投标文件要求</w:t>
      </w:r>
      <w:r/>
    </w:p>
    <w:p>
      <w:pPr>
        <w:ind w:firstLine="420"/>
        <w:spacing w:line="360" w:lineRule="auto"/>
        <w:rPr>
          <w:rFonts w:hint="eastAsia" w:ascii="宋体" w:hAnsi="宋体" w:cs="宋体"/>
          <w:bCs/>
          <w:szCs w:val="21"/>
        </w:rPr>
      </w:pPr>
      <w:r>
        <w:rPr>
          <w:rFonts w:hint="eastAsia" w:ascii="宋体" w:hAnsi="宋体" w:cs="宋体"/>
          <w:bCs/>
          <w:szCs w:val="21"/>
        </w:rPr>
        <w:t xml:space="preserve">31.1政府采购管理交易系统（苏采云）相关要求是本招标文件的组成部分。</w:t>
      </w:r>
      <w:r/>
    </w:p>
    <w:p>
      <w:pPr>
        <w:ind w:firstLine="420"/>
        <w:spacing w:line="360" w:lineRule="auto"/>
        <w:rPr>
          <w:rFonts w:hint="eastAsia" w:ascii="宋体" w:hAnsi="宋体" w:cs="宋体"/>
          <w:bCs/>
          <w:szCs w:val="21"/>
        </w:rPr>
      </w:pPr>
      <w:r>
        <w:rPr>
          <w:rFonts w:hint="eastAsia" w:ascii="宋体" w:hAnsi="宋体" w:cs="宋体"/>
          <w:bCs/>
          <w:szCs w:val="21"/>
        </w:rPr>
        <w:t xml:space="preserve">31.2投标人应对 CA 证书妥善保管，如被他人盗用投标，因此带来的结果均由投标人自行承担。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31.3投标人应当对招标文件提出的要求和条件作出实质性响应，并在电子投标系统逐条应答。</w:t>
      </w:r>
      <w:r/>
    </w:p>
    <w:p>
      <w:pPr>
        <w:ind w:firstLine="420"/>
        <w:spacing w:line="360" w:lineRule="auto"/>
        <w:rPr>
          <w:rFonts w:hint="eastAsia" w:ascii="宋体" w:hAnsi="宋体" w:cs="宋体"/>
          <w:bCs/>
          <w:szCs w:val="21"/>
        </w:rPr>
      </w:pPr>
      <w:r>
        <w:rPr>
          <w:rFonts w:hint="eastAsia" w:ascii="宋体" w:hAnsi="宋体" w:cs="宋体"/>
          <w:bCs/>
          <w:szCs w:val="21"/>
        </w:rPr>
        <w:t xml:space="preserve">31.4投标人应对要求提供的资格证明文件（如资质证书、资格证书）、技术资料（如白皮书、彩页、手册、检测报告等）扫描上传至投标系统。</w:t>
      </w:r>
      <w:r/>
    </w:p>
    <w:p>
      <w:pPr>
        <w:numPr>
          <w:ilvl w:val="0"/>
          <w:numId w:val="2"/>
        </w:numPr>
        <w:ind w:firstLine="422"/>
        <w:spacing w:line="360" w:lineRule="auto"/>
        <w:rPr>
          <w:rFonts w:hint="eastAsia" w:ascii="宋体" w:hAnsi="宋体" w:cs="宋体"/>
          <w:b/>
          <w:szCs w:val="21"/>
        </w:rPr>
      </w:pPr>
      <w:r>
        <w:rPr>
          <w:rFonts w:hint="eastAsia" w:ascii="宋体" w:hAnsi="宋体" w:cs="宋体"/>
          <w:b/>
          <w:szCs w:val="21"/>
        </w:rPr>
        <w:t xml:space="preserve">提交投标文件的截止时间（投标截止时间）</w:t>
      </w:r>
      <w:r/>
    </w:p>
    <w:p>
      <w:pPr>
        <w:ind w:firstLine="420"/>
        <w:spacing w:line="360" w:lineRule="auto"/>
        <w:rPr>
          <w:rFonts w:hint="eastAsia" w:ascii="宋体" w:hAnsi="宋体" w:cs="宋体"/>
          <w:bCs/>
          <w:szCs w:val="21"/>
        </w:rPr>
      </w:pPr>
      <w:r>
        <w:rPr>
          <w:rFonts w:hint="eastAsia" w:ascii="宋体" w:hAnsi="宋体" w:cs="宋体"/>
          <w:bCs/>
          <w:szCs w:val="21"/>
        </w:rPr>
        <w:t xml:space="preserve">32.1投标人应当在招标文件要求提交投标文件的截止时间前，将投标文件提交至“苏采云”系统，逾期提交的投标文件，“苏采云”系统将自动拒收。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rPr>
      </w:pPr>
      <w:r>
        <w:rPr>
          <w:rFonts w:hint="eastAsia" w:ascii="宋体" w:hAnsi="宋体" w:cs="宋体"/>
          <w:bCs/>
          <w:szCs w:val="21"/>
        </w:rPr>
        <w:t xml:space="preserve">32.2各投标人应在规定时间内凭CA证书进行网上解密。</w:t>
      </w:r>
      <w:r/>
    </w:p>
    <w:p>
      <w:pPr>
        <w:ind w:firstLine="422"/>
        <w:spacing w:line="360" w:lineRule="auto"/>
        <w:rPr>
          <w:rFonts w:hint="eastAsia" w:ascii="宋体" w:hAnsi="宋体" w:cs="宋体"/>
          <w:b/>
          <w:bCs/>
        </w:rPr>
      </w:pPr>
      <w:r>
        <w:rPr>
          <w:rFonts w:hint="eastAsia" w:ascii="宋体" w:hAnsi="宋体" w:cs="宋体"/>
          <w:b/>
          <w:bCs/>
        </w:rPr>
        <w:t xml:space="preserve">33、其他</w:t>
      </w:r>
      <w:r/>
    </w:p>
    <w:p>
      <w:pPr>
        <w:ind w:firstLine="420"/>
        <w:spacing w:line="360" w:lineRule="auto"/>
        <w:rPr>
          <w:rFonts w:hint="eastAsia" w:ascii="宋体" w:hAnsi="宋体" w:cs="宋体"/>
          <w:bCs/>
          <w:szCs w:val="21"/>
        </w:rPr>
      </w:pPr>
      <w:r>
        <w:rPr>
          <w:rFonts w:hint="eastAsia" w:ascii="宋体" w:hAnsi="宋体" w:cs="宋体"/>
        </w:rPr>
        <w:t xml:space="preserve">33.1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szCs w:val="21"/>
        </w:rPr>
      </w:pPr>
      <w:r>
        <w:rPr>
          <w:rFonts w:hint="eastAsia" w:ascii="宋体" w:hAnsi="宋体" w:cs="宋体"/>
          <w:bCs/>
          <w:szCs w:val="21"/>
        </w:rPr>
        <w:br w:type="page" w:clear="all"/>
      </w:r>
      <w:r/>
    </w:p>
    <w:p>
      <w:pPr>
        <w:pStyle w:val="744"/>
      </w:pPr>
      <w:r/>
      <w:bookmarkStart w:id="56" w:name="_Toc55204179"/>
      <w:r/>
      <w:bookmarkStart w:id="57" w:name="_Toc18427"/>
      <w:r/>
      <w:bookmarkStart w:id="58" w:name="_Hlk69392822"/>
      <w:r>
        <w:rPr>
          <w:rFonts w:hint="eastAsia"/>
        </w:rPr>
        <w:t xml:space="preserve">第三章 合同条款及格式</w:t>
      </w:r>
      <w:bookmarkEnd w:id="56"/>
      <w:r/>
      <w:bookmarkEnd w:id="57"/>
      <w:r/>
      <w:r/>
    </w:p>
    <w:p>
      <w:pPr>
        <w:pStyle w:val="943"/>
        <w:ind w:firstLine="420"/>
        <w:spacing w:line="360" w:lineRule="auto"/>
        <w:rPr>
          <w:rFonts w:hint="eastAsia" w:hAnsi="宋体" w:cs="宋体"/>
          <w:sz w:val="21"/>
        </w:rPr>
      </w:pPr>
      <w:r>
        <w:rPr>
          <w:rFonts w:hint="eastAsia" w:hAnsi="宋体" w:cs="宋体"/>
          <w:sz w:val="21"/>
        </w:rPr>
        <w:t xml:space="preserve">以下为中标后签定本项目合同的通用条款，中标人不得提出实质性的修改，关于专用条款将由采购人与中标人结合本项目具体情况协商后签订。</w:t>
      </w:r>
      <w:r/>
    </w:p>
    <w:p>
      <w:pPr>
        <w:pStyle w:val="943"/>
        <w:ind w:firstLine="422"/>
        <w:jc w:val="center"/>
        <w:spacing w:line="360" w:lineRule="auto"/>
        <w:rPr>
          <w:rFonts w:hint="eastAsia" w:hAnsi="宋体" w:cs="宋体"/>
          <w:b/>
          <w:bCs/>
          <w:sz w:val="21"/>
        </w:rPr>
      </w:pPr>
      <w:r>
        <w:rPr>
          <w:rFonts w:hint="eastAsia" w:hAnsi="宋体" w:cs="宋体"/>
          <w:b/>
          <w:bCs/>
          <w:sz w:val="21"/>
        </w:rPr>
        <w:t xml:space="preserve">扬州市政府采购合同（货物)（合同编号）</w:t>
      </w:r>
      <w:r/>
    </w:p>
    <w:p>
      <w:pPr>
        <w:pStyle w:val="943"/>
        <w:ind w:firstLine="420"/>
        <w:spacing w:line="360" w:lineRule="auto"/>
        <w:rPr>
          <w:rFonts w:hint="eastAsia" w:hAnsi="宋体" w:cs="宋体"/>
          <w:sz w:val="21"/>
        </w:rPr>
      </w:pPr>
      <w:r>
        <w:rPr>
          <w:rFonts w:hint="eastAsia" w:hAnsi="宋体" w:cs="宋体"/>
          <w:sz w:val="21"/>
        </w:rPr>
        <w:t xml:space="preserve">项目名称：江苏省苏北人民医院ICU数智化管理系统项目</w:t>
      </w:r>
      <w:r/>
    </w:p>
    <w:p>
      <w:pPr>
        <w:pStyle w:val="943"/>
        <w:ind w:firstLine="420"/>
        <w:spacing w:line="360" w:lineRule="auto"/>
        <w:rPr>
          <w:rFonts w:hint="eastAsia" w:hAnsi="宋体" w:eastAsia="宋体" w:cs="宋体"/>
          <w:sz w:val="21"/>
          <w:lang w:eastAsia="zh-CN"/>
        </w:rPr>
      </w:pPr>
      <w:r>
        <w:rPr>
          <w:rFonts w:hint="eastAsia" w:hAnsi="宋体" w:cs="宋体"/>
          <w:sz w:val="21"/>
        </w:rPr>
        <w:t xml:space="preserve">项目编号：</w:t>
      </w:r>
      <w:r>
        <w:rPr>
          <w:rFonts w:hint="eastAsia" w:hAnsi="宋体" w:cs="宋体"/>
          <w:sz w:val="21"/>
          <w:lang w:eastAsia="zh-CN"/>
        </w:rPr>
        <w:t xml:space="preserve">JSZC-321000-SWGC-G2025-0240号</w:t>
      </w:r>
      <w:r/>
    </w:p>
    <w:p>
      <w:pPr>
        <w:pStyle w:val="943"/>
        <w:ind w:firstLine="420"/>
        <w:spacing w:line="360" w:lineRule="auto"/>
        <w:rPr>
          <w:rFonts w:hint="eastAsia" w:hAnsi="宋体" w:cs="宋体"/>
          <w:sz w:val="21"/>
        </w:rPr>
      </w:pPr>
      <w:r>
        <w:rPr>
          <w:rFonts w:hint="eastAsia" w:hAnsi="宋体" w:cs="宋体"/>
          <w:sz w:val="21"/>
        </w:rPr>
        <w:t xml:space="preserve">甲方：（买方）江苏省苏北人民医院</w:t>
      </w:r>
      <w:r/>
    </w:p>
    <w:p>
      <w:pPr>
        <w:pStyle w:val="943"/>
        <w:ind w:firstLine="420"/>
        <w:spacing w:line="360" w:lineRule="auto"/>
        <w:rPr>
          <w:rFonts w:hint="eastAsia" w:hAnsi="宋体" w:cs="宋体"/>
          <w:sz w:val="21"/>
        </w:rPr>
      </w:pPr>
      <w:r>
        <w:rPr>
          <w:rFonts w:hint="eastAsia" w:hAnsi="宋体" w:cs="宋体"/>
          <w:sz w:val="21"/>
        </w:rPr>
        <w:t xml:space="preserve">乙方：（卖方）_________</w:t>
      </w:r>
      <w:r/>
    </w:p>
    <w:p>
      <w:pPr>
        <w:pStyle w:val="943"/>
        <w:ind w:firstLine="420"/>
        <w:spacing w:line="360" w:lineRule="auto"/>
        <w:rPr>
          <w:rFonts w:hint="eastAsia" w:hAnsi="宋体" w:cs="宋体"/>
          <w:sz w:val="21"/>
        </w:rPr>
      </w:pPr>
      <w:r>
        <w:rPr>
          <w:rFonts w:hint="eastAsia" w:hAnsi="宋体" w:cs="宋体"/>
          <w:sz w:val="21"/>
        </w:rPr>
        <w:t xml:space="preserve">见证方：江苏苏维工程管理有限公司</w:t>
      </w:r>
      <w:r/>
    </w:p>
    <w:p>
      <w:pPr>
        <w:pStyle w:val="943"/>
        <w:ind w:firstLine="420"/>
        <w:spacing w:line="360" w:lineRule="auto"/>
        <w:rPr>
          <w:rFonts w:hint="eastAsia" w:hAnsi="宋体" w:cs="宋体"/>
          <w:sz w:val="21"/>
        </w:rPr>
      </w:pPr>
      <w:r>
        <w:rPr>
          <w:rFonts w:hint="eastAsia" w:hAnsi="宋体" w:cs="宋体"/>
          <w:sz w:val="21"/>
        </w:rPr>
        <w:t xml:space="preserve">甲、乙双方根据江苏苏维工程管理有限公司</w:t>
      </w:r>
      <w:r>
        <w:rPr>
          <w:rFonts w:hint="eastAsia" w:hAnsi="宋体" w:cs="宋体"/>
          <w:sz w:val="21"/>
          <w:u w:val="single"/>
        </w:rPr>
        <w:t xml:space="preserve">           </w:t>
      </w:r>
      <w:r>
        <w:rPr>
          <w:rFonts w:hint="eastAsia" w:hAnsi="宋体" w:cs="宋体"/>
          <w:sz w:val="21"/>
        </w:rPr>
        <w:t xml:space="preserve">项目公开招标的结果，签署本合同。</w:t>
      </w:r>
      <w:r/>
    </w:p>
    <w:p>
      <w:pPr>
        <w:pStyle w:val="943"/>
        <w:ind w:firstLine="422"/>
        <w:spacing w:line="360" w:lineRule="auto"/>
        <w:rPr>
          <w:rFonts w:hint="eastAsia" w:hAnsi="宋体" w:cs="宋体"/>
          <w:b/>
          <w:bCs/>
          <w:sz w:val="21"/>
        </w:rPr>
      </w:pPr>
      <w:r>
        <w:rPr>
          <w:rFonts w:hint="eastAsia" w:hAnsi="宋体" w:cs="宋体"/>
          <w:b/>
          <w:bCs/>
          <w:sz w:val="21"/>
        </w:rPr>
        <w:t xml:space="preserve">一、货物及伴随服务</w:t>
      </w:r>
      <w:r/>
    </w:p>
    <w:p>
      <w:pPr>
        <w:pStyle w:val="943"/>
        <w:ind w:firstLine="420"/>
        <w:spacing w:line="360" w:lineRule="auto"/>
        <w:rPr>
          <w:rFonts w:hint="eastAsia" w:hAnsi="宋体" w:cs="宋体"/>
          <w:sz w:val="21"/>
        </w:rPr>
      </w:pPr>
      <w:r>
        <w:rPr>
          <w:rFonts w:hint="eastAsia" w:hAnsi="宋体" w:cs="宋体"/>
          <w:sz w:val="21"/>
        </w:rPr>
        <w:t xml:space="preserve">1.1 货物及服务名称：</w:t>
      </w:r>
      <w:r/>
    </w:p>
    <w:p>
      <w:pPr>
        <w:pStyle w:val="943"/>
        <w:ind w:firstLine="420"/>
        <w:spacing w:line="360" w:lineRule="auto"/>
        <w:rPr>
          <w:rFonts w:hint="eastAsia" w:hAnsi="宋体" w:cs="宋体"/>
          <w:sz w:val="21"/>
        </w:rPr>
      </w:pPr>
      <w:r>
        <w:rPr>
          <w:rFonts w:hint="eastAsia" w:hAnsi="宋体" w:cs="宋体"/>
          <w:sz w:val="21"/>
        </w:rPr>
        <w:t xml:space="preserve">1.2 型号规格：</w:t>
      </w:r>
      <w:r/>
    </w:p>
    <w:p>
      <w:pPr>
        <w:pStyle w:val="943"/>
        <w:ind w:firstLine="420"/>
        <w:spacing w:line="360" w:lineRule="auto"/>
        <w:rPr>
          <w:rFonts w:hint="eastAsia" w:hAnsi="宋体" w:cs="宋体"/>
          <w:sz w:val="21"/>
        </w:rPr>
      </w:pPr>
      <w:r>
        <w:rPr>
          <w:rFonts w:hint="eastAsia" w:hAnsi="宋体" w:cs="宋体"/>
          <w:sz w:val="21"/>
        </w:rPr>
        <w:t xml:space="preserve">1.3 数量（单位）</w:t>
      </w:r>
      <w:r/>
    </w:p>
    <w:p>
      <w:pPr>
        <w:pStyle w:val="943"/>
        <w:ind w:firstLine="422"/>
        <w:spacing w:line="360" w:lineRule="auto"/>
        <w:rPr>
          <w:rFonts w:hint="eastAsia" w:hAnsi="宋体" w:cs="宋体"/>
          <w:b/>
          <w:bCs/>
          <w:sz w:val="21"/>
        </w:rPr>
      </w:pPr>
      <w:r>
        <w:rPr>
          <w:rFonts w:hint="eastAsia" w:hAnsi="宋体" w:cs="宋体"/>
          <w:b/>
          <w:bCs/>
          <w:sz w:val="21"/>
        </w:rPr>
        <w:t xml:space="preserve">二、合同金额</w:t>
      </w:r>
      <w:r/>
    </w:p>
    <w:p>
      <w:pPr>
        <w:pStyle w:val="943"/>
        <w:ind w:firstLine="420"/>
        <w:spacing w:line="360" w:lineRule="auto"/>
        <w:rPr>
          <w:rFonts w:hint="eastAsia" w:hAnsi="宋体" w:cs="宋体"/>
          <w:sz w:val="21"/>
        </w:rPr>
      </w:pPr>
      <w:r>
        <w:rPr>
          <w:rFonts w:hint="eastAsia" w:hAnsi="宋体" w:cs="宋体"/>
          <w:sz w:val="21"/>
        </w:rPr>
        <w:t xml:space="preserve">2.1 本合同金额为（大写）：_____________圆（_______________元）人民币。</w:t>
      </w:r>
      <w:r/>
    </w:p>
    <w:p>
      <w:pPr>
        <w:pStyle w:val="943"/>
        <w:ind w:firstLine="422"/>
        <w:spacing w:line="360" w:lineRule="auto"/>
        <w:rPr>
          <w:rFonts w:hint="eastAsia" w:hAnsi="宋体" w:cs="宋体"/>
          <w:b/>
          <w:bCs/>
          <w:sz w:val="21"/>
        </w:rPr>
      </w:pPr>
      <w:r>
        <w:rPr>
          <w:rFonts w:hint="eastAsia" w:hAnsi="宋体" w:cs="宋体"/>
          <w:b/>
          <w:bCs/>
          <w:sz w:val="21"/>
        </w:rPr>
        <w:t xml:space="preserve">三、技术资料</w:t>
      </w:r>
      <w:r/>
    </w:p>
    <w:p>
      <w:pPr>
        <w:pStyle w:val="943"/>
        <w:ind w:firstLine="420"/>
        <w:spacing w:line="360" w:lineRule="auto"/>
        <w:rPr>
          <w:rFonts w:hint="eastAsia" w:hAnsi="宋体" w:cs="宋体"/>
          <w:sz w:val="21"/>
        </w:rPr>
      </w:pPr>
      <w:r>
        <w:rPr>
          <w:rFonts w:hint="eastAsia" w:hAnsi="宋体" w:cs="宋体"/>
          <w:sz w:val="21"/>
        </w:rPr>
        <w:t xml:space="preserve">3.1乙方应按招标文件规定的时间向甲方提供使用货物及服务的有关技术资料。</w:t>
      </w:r>
      <w:r/>
    </w:p>
    <w:p>
      <w:pPr>
        <w:pStyle w:val="943"/>
        <w:ind w:firstLine="420"/>
        <w:spacing w:line="360" w:lineRule="auto"/>
        <w:rPr>
          <w:rFonts w:hint="eastAsia" w:hAnsi="宋体" w:cs="宋体"/>
          <w:sz w:val="21"/>
        </w:rPr>
      </w:pPr>
      <w:r>
        <w:rPr>
          <w:rFonts w:hint="eastAsia" w:hAnsi="宋体" w:cs="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3"/>
        <w:ind w:firstLine="422"/>
        <w:spacing w:line="360" w:lineRule="auto"/>
        <w:rPr>
          <w:rFonts w:hint="eastAsia" w:hAnsi="宋体" w:cs="宋体"/>
          <w:b/>
          <w:bCs/>
          <w:sz w:val="21"/>
        </w:rPr>
      </w:pPr>
      <w:r>
        <w:rPr>
          <w:rFonts w:hint="eastAsia" w:hAnsi="宋体" w:cs="宋体"/>
          <w:b/>
          <w:bCs/>
          <w:sz w:val="21"/>
        </w:rPr>
        <w:t xml:space="preserve">四、知识产权</w:t>
      </w:r>
      <w:r/>
    </w:p>
    <w:p>
      <w:pPr>
        <w:pStyle w:val="943"/>
        <w:ind w:firstLine="420"/>
        <w:spacing w:line="360" w:lineRule="auto"/>
        <w:rPr>
          <w:rFonts w:hint="eastAsia" w:hAnsi="宋体" w:cs="宋体"/>
          <w:sz w:val="21"/>
        </w:rPr>
      </w:pPr>
      <w:r>
        <w:rPr>
          <w:rFonts w:hint="eastAsia" w:hAnsi="宋体" w:cs="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43"/>
        <w:ind w:firstLine="422"/>
        <w:spacing w:line="360" w:lineRule="auto"/>
        <w:rPr>
          <w:rFonts w:hint="eastAsia" w:hAnsi="宋体" w:cs="宋体"/>
          <w:b/>
          <w:bCs/>
          <w:sz w:val="21"/>
        </w:rPr>
      </w:pPr>
      <w:r>
        <w:rPr>
          <w:rFonts w:hint="eastAsia" w:hAnsi="宋体" w:cs="宋体"/>
          <w:b/>
          <w:bCs/>
          <w:sz w:val="21"/>
        </w:rPr>
        <w:t xml:space="preserve">五、产权担保</w:t>
      </w:r>
      <w:r/>
    </w:p>
    <w:p>
      <w:pPr>
        <w:pStyle w:val="943"/>
        <w:ind w:firstLine="420"/>
        <w:spacing w:line="360" w:lineRule="auto"/>
        <w:rPr>
          <w:rFonts w:hint="eastAsia" w:hAnsi="宋体" w:cs="宋体"/>
          <w:sz w:val="21"/>
        </w:rPr>
      </w:pPr>
      <w:r>
        <w:rPr>
          <w:rFonts w:hint="eastAsia" w:hAnsi="宋体" w:cs="宋体"/>
          <w:sz w:val="21"/>
        </w:rPr>
        <w:t xml:space="preserve">5.1 乙方保证所交付的货物及服务的所有权完全属于乙方且无任何抵押、查封等产权瑕疵。</w:t>
      </w:r>
      <w:r/>
    </w:p>
    <w:p>
      <w:pPr>
        <w:pStyle w:val="943"/>
        <w:ind w:firstLine="422"/>
        <w:spacing w:line="360" w:lineRule="auto"/>
        <w:rPr>
          <w:rFonts w:hint="eastAsia" w:hAnsi="宋体" w:cs="宋体"/>
          <w:b/>
          <w:bCs/>
          <w:sz w:val="21"/>
        </w:rPr>
      </w:pPr>
      <w:r>
        <w:rPr>
          <w:rFonts w:hint="eastAsia" w:hAnsi="宋体" w:cs="宋体"/>
          <w:b/>
          <w:bCs/>
          <w:sz w:val="21"/>
        </w:rPr>
        <w:t xml:space="preserve">六、履约保证金</w:t>
      </w:r>
      <w:r/>
    </w:p>
    <w:p>
      <w:pPr>
        <w:pStyle w:val="943"/>
        <w:ind w:firstLine="420"/>
        <w:spacing w:line="360" w:lineRule="auto"/>
        <w:rPr>
          <w:rFonts w:hint="eastAsia" w:hAnsi="宋体" w:cs="宋体"/>
          <w:sz w:val="21"/>
        </w:rPr>
      </w:pPr>
      <w:r>
        <w:rPr>
          <w:rFonts w:hint="eastAsia" w:hAnsi="宋体" w:cs="宋体"/>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43"/>
        <w:ind w:firstLine="420"/>
        <w:spacing w:line="360" w:lineRule="auto"/>
        <w:rPr>
          <w:rFonts w:hint="eastAsia" w:hAnsi="宋体" w:cs="宋体"/>
          <w:sz w:val="21"/>
        </w:rPr>
      </w:pPr>
      <w:r>
        <w:rPr>
          <w:rFonts w:hint="eastAsia" w:hAnsi="宋体" w:cs="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3"/>
        <w:ind w:firstLine="420"/>
        <w:spacing w:line="360" w:lineRule="auto"/>
        <w:rPr>
          <w:rFonts w:hint="eastAsia"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43"/>
        <w:ind w:firstLine="420"/>
        <w:spacing w:line="360" w:lineRule="auto"/>
        <w:rPr>
          <w:rFonts w:hint="eastAsia" w:hAnsi="宋体" w:cs="宋体"/>
          <w:sz w:val="21"/>
        </w:rPr>
      </w:pPr>
      <w:r>
        <w:rPr>
          <w:rFonts w:hint="eastAsia" w:hAnsi="宋体" w:cs="宋体"/>
          <w:sz w:val="21"/>
        </w:rPr>
        <w:t xml:space="preserve">6.4 履约保证金收取：</w:t>
      </w:r>
      <w:r>
        <w:rPr>
          <w:rFonts w:hint="eastAsia" w:hAnsi="宋体" w:cs="宋体"/>
          <w:sz w:val="21"/>
          <w:u w:val="single"/>
        </w:rPr>
        <w:t xml:space="preserve">无</w:t>
      </w:r>
      <w:r/>
    </w:p>
    <w:p>
      <w:pPr>
        <w:pStyle w:val="943"/>
        <w:ind w:firstLine="422"/>
        <w:spacing w:line="360" w:lineRule="auto"/>
        <w:rPr>
          <w:rFonts w:hint="eastAsia" w:hAnsi="宋体" w:cs="宋体"/>
          <w:b/>
          <w:bCs/>
          <w:sz w:val="21"/>
        </w:rPr>
      </w:pPr>
      <w:r>
        <w:rPr>
          <w:rFonts w:hint="eastAsia" w:hAnsi="宋体" w:cs="宋体"/>
          <w:b/>
          <w:bCs/>
          <w:sz w:val="21"/>
        </w:rPr>
        <w:t xml:space="preserve">七、转包或分包</w:t>
      </w:r>
      <w:r/>
    </w:p>
    <w:p>
      <w:pPr>
        <w:pStyle w:val="943"/>
        <w:ind w:firstLine="420"/>
        <w:spacing w:line="360" w:lineRule="auto"/>
        <w:rPr>
          <w:rFonts w:hint="eastAsia" w:hAnsi="宋体" w:cs="宋体"/>
          <w:sz w:val="21"/>
        </w:rPr>
      </w:pPr>
      <w:r>
        <w:rPr>
          <w:rFonts w:hint="eastAsia" w:hAnsi="宋体" w:cs="宋体"/>
          <w:sz w:val="21"/>
        </w:rPr>
        <w:t xml:space="preserve">7.1本合同范围的货物及服务，应由乙方直接供应，不得转让他人供应；</w:t>
      </w:r>
      <w:r/>
    </w:p>
    <w:p>
      <w:pPr>
        <w:pStyle w:val="943"/>
        <w:ind w:firstLine="420"/>
        <w:spacing w:line="360" w:lineRule="auto"/>
        <w:rPr>
          <w:rFonts w:hint="eastAsia" w:hAnsi="宋体" w:cs="宋体"/>
          <w:sz w:val="21"/>
        </w:rPr>
      </w:pPr>
      <w:r>
        <w:rPr>
          <w:rFonts w:hint="eastAsia" w:hAnsi="宋体" w:cs="宋体"/>
          <w:sz w:val="21"/>
        </w:rPr>
        <w:t xml:space="preserve">7.2 除非得到甲方的书面同意，乙方不得部分分包给他人供应。</w:t>
      </w:r>
      <w:r/>
    </w:p>
    <w:p>
      <w:pPr>
        <w:pStyle w:val="943"/>
        <w:ind w:firstLine="420"/>
        <w:spacing w:line="360" w:lineRule="auto"/>
        <w:rPr>
          <w:rFonts w:hint="eastAsia" w:hAnsi="宋体" w:cs="宋体"/>
          <w:sz w:val="21"/>
        </w:rPr>
      </w:pPr>
      <w:r>
        <w:rPr>
          <w:rFonts w:hint="eastAsia" w:hAnsi="宋体" w:cs="宋体"/>
          <w:sz w:val="21"/>
        </w:rPr>
        <w:t xml:space="preserve">7.3如有转让和未经甲方同意的分包行为，甲方有权给予终止合同。</w:t>
      </w:r>
      <w:r/>
    </w:p>
    <w:p>
      <w:pPr>
        <w:pStyle w:val="943"/>
        <w:ind w:firstLine="422"/>
        <w:spacing w:line="360" w:lineRule="auto"/>
        <w:rPr>
          <w:rFonts w:hint="eastAsia" w:hAnsi="宋体" w:cs="宋体"/>
          <w:b/>
          <w:bCs/>
          <w:sz w:val="21"/>
        </w:rPr>
      </w:pPr>
      <w:r>
        <w:rPr>
          <w:rFonts w:hint="eastAsia" w:hAnsi="宋体" w:cs="宋体"/>
          <w:b/>
          <w:bCs/>
          <w:sz w:val="21"/>
        </w:rPr>
        <w:t xml:space="preserve">八、质保期</w:t>
      </w:r>
      <w:r/>
    </w:p>
    <w:p>
      <w:pPr>
        <w:pStyle w:val="943"/>
        <w:ind w:firstLine="420"/>
        <w:spacing w:line="360" w:lineRule="auto"/>
        <w:rPr>
          <w:rFonts w:hint="eastAsia" w:hAnsi="宋体" w:cs="宋体"/>
          <w:sz w:val="21"/>
        </w:rPr>
      </w:pPr>
      <w:r>
        <w:rPr>
          <w:rFonts w:hint="eastAsia" w:hAnsi="宋体" w:cs="宋体"/>
          <w:sz w:val="21"/>
        </w:rPr>
        <w:t xml:space="preserve">8.1 质保期</w:t>
      </w:r>
      <w:r>
        <w:rPr>
          <w:rFonts w:hint="eastAsia" w:hAnsi="宋体" w:cs="宋体"/>
          <w:sz w:val="21"/>
          <w:u w:val="single"/>
        </w:rPr>
        <w:t xml:space="preserve">    </w:t>
      </w:r>
      <w:r>
        <w:rPr>
          <w:rFonts w:hint="eastAsia" w:hAnsi="宋体" w:cs="宋体"/>
          <w:sz w:val="21"/>
        </w:rPr>
        <w:t xml:space="preserve">年。（自交货验收合格之日起计）</w:t>
      </w:r>
      <w:r/>
    </w:p>
    <w:p>
      <w:pPr>
        <w:pStyle w:val="943"/>
        <w:ind w:firstLine="422"/>
        <w:spacing w:line="360" w:lineRule="auto"/>
        <w:rPr>
          <w:rFonts w:hint="eastAsia" w:hAnsi="宋体" w:cs="宋体"/>
          <w:b/>
          <w:bCs/>
          <w:sz w:val="21"/>
        </w:rPr>
      </w:pPr>
      <w:r>
        <w:rPr>
          <w:rFonts w:hint="eastAsia" w:hAnsi="宋体" w:cs="宋体"/>
          <w:b/>
          <w:bCs/>
          <w:sz w:val="21"/>
        </w:rPr>
        <w:t xml:space="preserve">九、交付期、交付方式及交付地点</w:t>
      </w:r>
      <w:r/>
    </w:p>
    <w:p>
      <w:pPr>
        <w:pStyle w:val="943"/>
        <w:ind w:firstLine="420"/>
        <w:spacing w:line="360" w:lineRule="auto"/>
        <w:rPr>
          <w:rFonts w:hint="eastAsia" w:hAnsi="宋体" w:cs="宋体"/>
          <w:sz w:val="21"/>
          <w:u w:val="single"/>
        </w:rPr>
      </w:pPr>
      <w:r>
        <w:rPr>
          <w:rFonts w:hint="eastAsia" w:hAnsi="宋体" w:cs="宋体"/>
          <w:sz w:val="21"/>
        </w:rPr>
        <w:t xml:space="preserve">9.1 交付期：</w:t>
      </w:r>
      <w:r>
        <w:rPr>
          <w:rFonts w:hint="eastAsia" w:hAnsi="宋体" w:cs="宋体"/>
          <w:sz w:val="21"/>
          <w:u w:val="single"/>
        </w:rPr>
        <w:t xml:space="preserve">            </w:t>
      </w:r>
      <w:r/>
    </w:p>
    <w:p>
      <w:pPr>
        <w:pStyle w:val="943"/>
        <w:ind w:firstLine="420"/>
        <w:spacing w:line="360" w:lineRule="auto"/>
        <w:rPr>
          <w:rFonts w:hint="eastAsia" w:hAnsi="宋体" w:cs="宋体"/>
          <w:sz w:val="21"/>
        </w:rPr>
      </w:pPr>
      <w:r>
        <w:rPr>
          <w:rFonts w:hint="eastAsia" w:hAnsi="宋体" w:cs="宋体"/>
          <w:sz w:val="21"/>
        </w:rPr>
        <w:t xml:space="preserve">9.2 交付方式：</w:t>
      </w:r>
      <w:r>
        <w:rPr>
          <w:rFonts w:hint="eastAsia" w:hAnsi="宋体" w:cs="宋体"/>
          <w:sz w:val="21"/>
          <w:u w:val="single"/>
        </w:rPr>
        <w:t xml:space="preserve">甲方指定方式</w:t>
      </w:r>
      <w:r/>
    </w:p>
    <w:p>
      <w:pPr>
        <w:pStyle w:val="943"/>
        <w:ind w:firstLine="420"/>
        <w:spacing w:line="360" w:lineRule="auto"/>
        <w:rPr>
          <w:rFonts w:hint="eastAsia" w:hAnsi="宋体" w:cs="宋体"/>
          <w:sz w:val="21"/>
          <w:u w:val="single"/>
        </w:rPr>
      </w:pPr>
      <w:r>
        <w:rPr>
          <w:rFonts w:hint="eastAsia" w:hAnsi="宋体" w:cs="宋体"/>
          <w:sz w:val="21"/>
        </w:rPr>
        <w:t xml:space="preserve">9.3 交付地点：</w:t>
      </w:r>
      <w:r>
        <w:rPr>
          <w:rFonts w:hint="eastAsia" w:hAnsi="宋体" w:cs="宋体"/>
          <w:sz w:val="21"/>
          <w:u w:val="single"/>
        </w:rPr>
        <w:t xml:space="preserve">甲方指定地点</w:t>
      </w:r>
      <w:r/>
    </w:p>
    <w:p>
      <w:pPr>
        <w:pStyle w:val="943"/>
        <w:ind w:firstLine="422"/>
        <w:spacing w:line="360" w:lineRule="auto"/>
        <w:rPr>
          <w:rFonts w:hint="eastAsia" w:hAnsi="宋体" w:cs="宋体"/>
          <w:b/>
          <w:bCs/>
          <w:sz w:val="21"/>
        </w:rPr>
      </w:pPr>
      <w:r>
        <w:rPr>
          <w:rFonts w:hint="eastAsia" w:hAnsi="宋体" w:cs="宋体"/>
          <w:b/>
          <w:bCs/>
          <w:sz w:val="21"/>
        </w:rPr>
        <w:t xml:space="preserve">十、货款支付</w:t>
      </w:r>
      <w:r/>
    </w:p>
    <w:p>
      <w:pPr>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p>
    <w:p>
      <w:pPr>
        <w:ind w:firstLine="420"/>
        <w:spacing w:line="360" w:lineRule="auto"/>
        <w:rPr>
          <w:rFonts w:hint="eastAsia" w:ascii="宋体" w:hAnsi="宋体" w:cs="宋体"/>
          <w:szCs w:val="21"/>
        </w:rPr>
      </w:pPr>
      <w:r>
        <w:rPr>
          <w:rFonts w:hint="eastAsia" w:ascii="宋体" w:hAnsi="宋体" w:cs="宋体"/>
          <w:szCs w:val="21"/>
        </w:rPr>
        <w:t xml:space="preserve">10.3 甲方付款方式：</w:t>
      </w:r>
      <w:r/>
    </w:p>
    <w:p>
      <w:pPr>
        <w:pStyle w:val="943"/>
        <w:ind w:firstLine="420"/>
        <w:spacing w:line="360" w:lineRule="auto"/>
        <w:rPr>
          <w:rFonts w:hint="eastAsia" w:hAnsi="宋体" w:cs="宋体"/>
          <w:sz w:val="21"/>
          <w:u w:val="single"/>
        </w:rPr>
      </w:pPr>
      <w:r>
        <w:rPr>
          <w:rFonts w:hint="eastAsia" w:hAnsi="宋体" w:cs="宋体"/>
          <w:sz w:val="21"/>
          <w:u w:val="single"/>
        </w:rPr>
        <w:t xml:space="preserve">合同签订后，乙方向甲方开具发票，甲方自收到发票之日起10个工作日内支付合同金额30%的预付款；</w:t>
      </w:r>
      <w:r/>
    </w:p>
    <w:p>
      <w:pPr>
        <w:pStyle w:val="943"/>
        <w:ind w:firstLine="420"/>
        <w:spacing w:line="360" w:lineRule="auto"/>
        <w:rPr>
          <w:rFonts w:hint="eastAsia" w:hAnsi="宋体" w:cs="宋体"/>
          <w:sz w:val="21"/>
          <w:u w:val="single"/>
        </w:rPr>
      </w:pPr>
      <w:r>
        <w:rPr>
          <w:rFonts w:hint="eastAsia" w:hAnsi="宋体" w:cs="宋体"/>
          <w:sz w:val="21"/>
          <w:u w:val="single"/>
        </w:rPr>
        <w:t xml:space="preserve">系统上线运行后，乙方向甲方开具发票，甲方自收到发票之日起10个工作日内支付合同金额的20%；</w:t>
      </w:r>
      <w:r/>
    </w:p>
    <w:p>
      <w:pPr>
        <w:pStyle w:val="943"/>
        <w:ind w:firstLine="420"/>
        <w:spacing w:line="360" w:lineRule="auto"/>
        <w:rPr>
          <w:rFonts w:hint="eastAsia" w:hAnsi="宋体" w:cs="宋体"/>
          <w:sz w:val="21"/>
          <w:u w:val="single"/>
        </w:rPr>
      </w:pPr>
      <w:r>
        <w:rPr>
          <w:rFonts w:hint="eastAsia" w:hAnsi="宋体" w:cs="宋体"/>
          <w:sz w:val="21"/>
          <w:u w:val="single"/>
        </w:rPr>
        <w:t xml:space="preserve">试运行三个月后，甲方自收到发票之日起10个工作日内支付合同金额的40%；</w:t>
      </w:r>
      <w:r/>
    </w:p>
    <w:p>
      <w:pPr>
        <w:pStyle w:val="943"/>
        <w:ind w:firstLine="420"/>
        <w:spacing w:line="360" w:lineRule="auto"/>
        <w:rPr>
          <w:rFonts w:hint="eastAsia" w:hAnsi="宋体" w:cs="宋体"/>
          <w:sz w:val="21"/>
          <w:u w:val="single"/>
        </w:rPr>
      </w:pPr>
      <w:r>
        <w:rPr>
          <w:rFonts w:hint="eastAsia" w:hAnsi="宋体" w:cs="宋体"/>
          <w:sz w:val="21"/>
          <w:u w:val="single"/>
        </w:rPr>
        <w:t xml:space="preserve">正常运行一年后，甲方自收到发票之日起10个工作日内支付合同金额的10%；</w:t>
      </w:r>
      <w:r/>
    </w:p>
    <w:p>
      <w:pPr>
        <w:pStyle w:val="943"/>
        <w:ind w:firstLine="422"/>
        <w:spacing w:line="360" w:lineRule="auto"/>
        <w:rPr>
          <w:rFonts w:hint="eastAsia" w:hAnsi="宋体" w:cs="宋体"/>
          <w:b/>
          <w:bCs/>
          <w:sz w:val="21"/>
        </w:rPr>
      </w:pPr>
      <w:r>
        <w:rPr>
          <w:rFonts w:hint="eastAsia" w:hAnsi="宋体" w:cs="宋体"/>
          <w:b/>
          <w:bCs/>
          <w:sz w:val="21"/>
        </w:rPr>
        <w:t xml:space="preserve">十一、税费</w:t>
      </w:r>
      <w:r/>
    </w:p>
    <w:p>
      <w:pPr>
        <w:pStyle w:val="943"/>
        <w:ind w:firstLine="420"/>
        <w:spacing w:line="360" w:lineRule="auto"/>
        <w:rPr>
          <w:rFonts w:hint="eastAsia" w:hAnsi="宋体" w:cs="宋体"/>
          <w:sz w:val="21"/>
        </w:rPr>
      </w:pPr>
      <w:r>
        <w:rPr>
          <w:rFonts w:hint="eastAsia" w:hAnsi="宋体" w:cs="宋体"/>
          <w:sz w:val="21"/>
        </w:rPr>
        <w:t xml:space="preserve">11.1本合同执行中相关的一切税费均由乙方负担。</w:t>
      </w:r>
      <w:r/>
    </w:p>
    <w:p>
      <w:pPr>
        <w:pStyle w:val="943"/>
        <w:ind w:firstLine="422"/>
        <w:spacing w:line="360" w:lineRule="auto"/>
        <w:rPr>
          <w:rFonts w:hint="eastAsia" w:hAnsi="宋体" w:cs="宋体"/>
          <w:b/>
          <w:bCs/>
          <w:sz w:val="21"/>
        </w:rPr>
      </w:pPr>
      <w:r>
        <w:rPr>
          <w:rFonts w:hint="eastAsia" w:hAnsi="宋体" w:cs="宋体"/>
          <w:b/>
          <w:bCs/>
          <w:sz w:val="21"/>
        </w:rPr>
        <w:t xml:space="preserve">十二、质量保证及售后服务</w:t>
      </w:r>
      <w:r/>
    </w:p>
    <w:p>
      <w:pPr>
        <w:pStyle w:val="943"/>
        <w:ind w:firstLine="420"/>
        <w:spacing w:line="360" w:lineRule="auto"/>
        <w:rPr>
          <w:rFonts w:hint="eastAsia" w:hAnsi="宋体" w:cs="宋体"/>
          <w:sz w:val="21"/>
        </w:rPr>
      </w:pPr>
      <w:r>
        <w:rPr>
          <w:rFonts w:hint="eastAsia" w:hAnsi="宋体" w:cs="宋体"/>
          <w:sz w:val="21"/>
        </w:rPr>
        <w:t xml:space="preserve">12.1 乙方应按招标文件规定的货物及服务性能、技术要求、质量标准向甲方提供。</w:t>
      </w:r>
      <w:r/>
    </w:p>
    <w:p>
      <w:pPr>
        <w:pStyle w:val="943"/>
        <w:ind w:firstLine="420"/>
        <w:spacing w:line="360" w:lineRule="auto"/>
        <w:rPr>
          <w:rFonts w:hint="eastAsia" w:hAnsi="宋体" w:cs="宋体"/>
          <w:sz w:val="21"/>
        </w:rPr>
      </w:pPr>
      <w:r>
        <w:rPr>
          <w:rFonts w:hint="eastAsia" w:hAnsi="宋体" w:cs="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943"/>
        <w:ind w:firstLine="420"/>
        <w:spacing w:line="360" w:lineRule="auto"/>
        <w:rPr>
          <w:rFonts w:hint="eastAsia" w:hAnsi="宋体" w:cs="宋体"/>
          <w:sz w:val="21"/>
        </w:rPr>
      </w:pPr>
      <w:r>
        <w:rPr>
          <w:rFonts w:hint="eastAsia" w:hAnsi="宋体" w:cs="宋体"/>
          <w:sz w:val="21"/>
        </w:rPr>
        <w:t xml:space="preserve">⑴更换：由乙方承担所发生的全部费用。</w:t>
      </w:r>
      <w:r/>
    </w:p>
    <w:p>
      <w:pPr>
        <w:pStyle w:val="943"/>
        <w:ind w:firstLine="420"/>
        <w:spacing w:line="360" w:lineRule="auto"/>
        <w:rPr>
          <w:rFonts w:hint="eastAsia" w:hAnsi="宋体" w:cs="宋体"/>
          <w:sz w:val="21"/>
        </w:rPr>
      </w:pPr>
      <w:r>
        <w:rPr>
          <w:rFonts w:hint="eastAsia" w:hAnsi="宋体" w:cs="宋体"/>
          <w:sz w:val="21"/>
        </w:rPr>
        <w:t xml:space="preserve">⑵贬值处理：由甲乙双方合议定价。</w:t>
      </w:r>
      <w:r/>
    </w:p>
    <w:p>
      <w:pPr>
        <w:pStyle w:val="943"/>
        <w:ind w:firstLine="420"/>
        <w:spacing w:line="360" w:lineRule="auto"/>
        <w:rPr>
          <w:rFonts w:hint="eastAsia" w:hAnsi="宋体" w:cs="宋体"/>
          <w:sz w:val="21"/>
        </w:rPr>
      </w:pPr>
      <w:r>
        <w:rPr>
          <w:rFonts w:hint="eastAsia" w:hAnsi="宋体" w:cs="宋体"/>
          <w:sz w:val="21"/>
        </w:rPr>
        <w:t xml:space="preserve">⑶退还处理：乙方应退还甲方支付的合同款，同时应承担该货物及服务的直接费用（运输、保险、检验、款项利息及银行手续费等）。</w:t>
      </w:r>
      <w:r/>
    </w:p>
    <w:p>
      <w:pPr>
        <w:pStyle w:val="943"/>
        <w:ind w:firstLine="420"/>
        <w:spacing w:line="360" w:lineRule="auto"/>
        <w:rPr>
          <w:rFonts w:hint="eastAsia" w:hAnsi="宋体" w:cs="宋体"/>
          <w:sz w:val="21"/>
        </w:rPr>
      </w:pPr>
      <w:r>
        <w:rPr>
          <w:rFonts w:hint="eastAsia" w:hAnsi="宋体" w:cs="宋体"/>
          <w:sz w:val="21"/>
        </w:rPr>
        <w:t xml:space="preserve">12.3 如在使用过程中发生质量问题，乙方在接到甲方通知后在</w:t>
      </w:r>
      <w:r>
        <w:rPr>
          <w:rFonts w:hint="eastAsia" w:hAnsi="宋体" w:cs="宋体"/>
          <w:sz w:val="21"/>
          <w:u w:val="single"/>
        </w:rPr>
        <w:t xml:space="preserve">   </w:t>
      </w:r>
      <w:r>
        <w:rPr>
          <w:rFonts w:hint="eastAsia" w:hAnsi="宋体" w:cs="宋体"/>
          <w:sz w:val="21"/>
        </w:rPr>
        <w:t xml:space="preserve">小时内到达甲方现场。</w:t>
      </w:r>
      <w:r/>
    </w:p>
    <w:p>
      <w:pPr>
        <w:pStyle w:val="943"/>
        <w:ind w:firstLine="420"/>
        <w:spacing w:line="360" w:lineRule="auto"/>
        <w:rPr>
          <w:rFonts w:hint="eastAsia" w:hAnsi="宋体" w:cs="宋体"/>
          <w:sz w:val="21"/>
        </w:rPr>
      </w:pPr>
      <w:r>
        <w:rPr>
          <w:rFonts w:hint="eastAsia" w:hAnsi="宋体" w:cs="宋体"/>
          <w:sz w:val="21"/>
        </w:rPr>
        <w:t xml:space="preserve">12.4 在质保期内，乙方应对货物及服务出现的质量及安全问题负责处理解决并承担一切费用。</w:t>
      </w:r>
      <w:r/>
    </w:p>
    <w:p>
      <w:pPr>
        <w:pStyle w:val="943"/>
        <w:ind w:firstLine="420"/>
        <w:spacing w:line="360" w:lineRule="auto"/>
        <w:rPr>
          <w:rFonts w:hint="eastAsia" w:hAnsi="宋体" w:cs="宋体"/>
          <w:sz w:val="21"/>
        </w:rPr>
      </w:pPr>
      <w:r>
        <w:rPr>
          <w:rFonts w:hint="eastAsia" w:hAnsi="宋体" w:cs="宋体"/>
          <w:sz w:val="21"/>
        </w:rPr>
        <w:t xml:space="preserve">12.5上述的货物及服务免费保修期为</w:t>
      </w:r>
      <w:r>
        <w:rPr>
          <w:rFonts w:hint="eastAsia" w:hAnsi="宋体" w:cs="宋体"/>
          <w:sz w:val="21"/>
          <w:u w:val="single"/>
        </w:rPr>
        <w:t xml:space="preserve">      </w:t>
      </w:r>
      <w:r>
        <w:rPr>
          <w:rFonts w:hint="eastAsia" w:hAnsi="宋体" w:cs="宋体"/>
          <w:sz w:val="21"/>
        </w:rPr>
        <w:t xml:space="preserve">年，因人为因素出现的故障不在免费保修范围内。超过保修期的机器设备，终生维修，维修时只收部件成本费。</w:t>
      </w:r>
      <w:r/>
    </w:p>
    <w:p>
      <w:pPr>
        <w:pStyle w:val="943"/>
        <w:ind w:firstLine="422"/>
        <w:spacing w:line="360" w:lineRule="auto"/>
        <w:rPr>
          <w:rFonts w:hint="eastAsia" w:hAnsi="宋体" w:cs="宋体"/>
          <w:b/>
          <w:bCs/>
          <w:sz w:val="21"/>
        </w:rPr>
      </w:pPr>
      <w:r>
        <w:rPr>
          <w:rFonts w:hint="eastAsia" w:hAnsi="宋体" w:cs="宋体"/>
          <w:b/>
          <w:bCs/>
          <w:sz w:val="21"/>
        </w:rPr>
        <w:t xml:space="preserve">十三、调试和验收</w:t>
      </w:r>
      <w:r/>
    </w:p>
    <w:p>
      <w:pPr>
        <w:pStyle w:val="943"/>
        <w:ind w:firstLine="420"/>
        <w:spacing w:line="360" w:lineRule="auto"/>
        <w:rPr>
          <w:rFonts w:hint="eastAsia" w:hAnsi="宋体" w:cs="宋体"/>
          <w:sz w:val="21"/>
        </w:rPr>
      </w:pPr>
      <w:r>
        <w:rPr>
          <w:rFonts w:hint="eastAsia" w:hAnsi="宋体" w:cs="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43"/>
        <w:ind w:firstLine="420"/>
        <w:spacing w:line="360" w:lineRule="auto"/>
        <w:rPr>
          <w:rFonts w:hint="eastAsia" w:hAnsi="宋体" w:cs="宋体"/>
          <w:sz w:val="21"/>
        </w:rPr>
      </w:pPr>
      <w:r>
        <w:rPr>
          <w:rFonts w:hint="eastAsia" w:hAnsi="宋体" w:cs="宋体"/>
          <w:sz w:val="21"/>
        </w:rPr>
        <w:t xml:space="preserve">13.2 乙方交付前应对货物及服务作出全面检查和对验收文件进行整理，并列出清单，作为甲方交付验收和使用的技术条件依据，检验的结果应随货物及服务交甲方。</w:t>
      </w:r>
      <w:r/>
    </w:p>
    <w:p>
      <w:pPr>
        <w:pStyle w:val="943"/>
        <w:ind w:firstLine="420"/>
        <w:spacing w:line="360" w:lineRule="auto"/>
        <w:rPr>
          <w:rFonts w:hint="eastAsia" w:hAnsi="宋体" w:cs="宋体"/>
          <w:sz w:val="21"/>
        </w:rPr>
      </w:pPr>
      <w:r>
        <w:rPr>
          <w:rFonts w:hint="eastAsia" w:hAnsi="宋体" w:cs="宋体"/>
          <w:sz w:val="21"/>
        </w:rPr>
        <w:t xml:space="preserve">13.3 甲方对乙方提供的货物及服务在使用前进行调试时，乙方需负责安装并培训甲方的使用操作人员，并协助甲方一起调试，直到符合技术要求，甲方才做最终验收。</w:t>
      </w:r>
      <w:r/>
    </w:p>
    <w:p>
      <w:pPr>
        <w:pStyle w:val="943"/>
        <w:ind w:firstLine="420"/>
        <w:spacing w:line="360" w:lineRule="auto"/>
        <w:rPr>
          <w:rFonts w:hint="eastAsia" w:hAnsi="宋体" w:cs="宋体"/>
          <w:sz w:val="21"/>
        </w:rPr>
      </w:pPr>
      <w:r>
        <w:rPr>
          <w:rFonts w:hint="eastAsia" w:hAnsi="宋体" w:cs="宋体"/>
          <w:sz w:val="21"/>
        </w:rPr>
        <w:t xml:space="preserve">13.4 对技术复杂的货物及服务，甲方可请国家认可的专业检测机构参与初步验收及最终验收，并由其出具质量检测报告。</w:t>
      </w:r>
      <w:r/>
    </w:p>
    <w:p>
      <w:pPr>
        <w:pStyle w:val="943"/>
        <w:ind w:firstLine="420"/>
        <w:spacing w:line="360" w:lineRule="auto"/>
        <w:rPr>
          <w:rFonts w:hint="eastAsia" w:hAnsi="宋体" w:cs="宋体"/>
          <w:sz w:val="21"/>
        </w:rPr>
      </w:pPr>
      <w:r>
        <w:rPr>
          <w:rFonts w:hint="eastAsia" w:hAnsi="宋体" w:cs="宋体"/>
          <w:sz w:val="21"/>
        </w:rPr>
        <w:t xml:space="preserve">13.5 验收时乙方必须在现场，验收完毕后作出验收结果报告；验收费用由甲乙双方协商解决。</w:t>
      </w:r>
      <w:r/>
    </w:p>
    <w:p>
      <w:pPr>
        <w:pStyle w:val="943"/>
        <w:ind w:firstLine="422"/>
        <w:spacing w:line="360" w:lineRule="auto"/>
        <w:rPr>
          <w:rFonts w:hint="eastAsia" w:hAnsi="宋体" w:cs="宋体"/>
          <w:b/>
          <w:bCs/>
          <w:sz w:val="21"/>
        </w:rPr>
      </w:pPr>
      <w:r>
        <w:rPr>
          <w:rFonts w:hint="eastAsia" w:hAnsi="宋体" w:cs="宋体"/>
          <w:b/>
          <w:bCs/>
          <w:sz w:val="21"/>
        </w:rPr>
        <w:t xml:space="preserve">十四、货物及服务包装、发运及运输</w:t>
      </w:r>
      <w:r/>
    </w:p>
    <w:p>
      <w:pPr>
        <w:pStyle w:val="943"/>
        <w:ind w:firstLine="420"/>
        <w:spacing w:line="360" w:lineRule="auto"/>
        <w:rPr>
          <w:rFonts w:hint="eastAsia" w:hAnsi="宋体" w:cs="宋体"/>
          <w:sz w:val="21"/>
        </w:rPr>
      </w:pPr>
      <w:r>
        <w:rPr>
          <w:rFonts w:hint="eastAsia" w:hAnsi="宋体" w:cs="宋体"/>
          <w:sz w:val="21"/>
        </w:rPr>
        <w:t xml:space="preserve">14.1 乙方应在货物及服务发运前对其进行满足运输距离、防潮、防震、防锈和防破损装卸等要求包装，以保证货物及服务安全运达甲方指定地点。</w:t>
      </w:r>
      <w:r/>
    </w:p>
    <w:p>
      <w:pPr>
        <w:pStyle w:val="943"/>
        <w:ind w:firstLine="420"/>
        <w:spacing w:line="360" w:lineRule="auto"/>
        <w:rPr>
          <w:rFonts w:hint="eastAsia" w:hAnsi="宋体" w:cs="宋体"/>
          <w:sz w:val="21"/>
        </w:rPr>
      </w:pPr>
      <w:r>
        <w:rPr>
          <w:rFonts w:hint="eastAsia" w:hAnsi="宋体" w:cs="宋体"/>
          <w:sz w:val="21"/>
        </w:rPr>
        <w:t xml:space="preserve">14.2 使用说明书、质量检验证明书、随配附件和工具以及清单一并交付甲方。</w:t>
      </w:r>
      <w:r/>
    </w:p>
    <w:p>
      <w:pPr>
        <w:pStyle w:val="943"/>
        <w:ind w:firstLine="420"/>
        <w:spacing w:line="360" w:lineRule="auto"/>
        <w:rPr>
          <w:rFonts w:hint="eastAsia" w:hAnsi="宋体" w:cs="宋体"/>
          <w:sz w:val="21"/>
        </w:rPr>
      </w:pPr>
      <w:r>
        <w:rPr>
          <w:rFonts w:hint="eastAsia" w:hAnsi="宋体" w:cs="宋体"/>
          <w:sz w:val="21"/>
        </w:rPr>
        <w:t xml:space="preserve">14.3 乙方在货物及服务发运手续办理完毕后24小时内或交付到甲方48小时前通知甲方，以准备接受交付。</w:t>
      </w:r>
      <w:r/>
    </w:p>
    <w:p>
      <w:pPr>
        <w:pStyle w:val="943"/>
        <w:ind w:firstLine="420"/>
        <w:spacing w:line="360" w:lineRule="auto"/>
        <w:rPr>
          <w:rFonts w:hint="eastAsia" w:hAnsi="宋体" w:cs="宋体"/>
          <w:sz w:val="21"/>
        </w:rPr>
      </w:pPr>
      <w:r>
        <w:rPr>
          <w:rFonts w:hint="eastAsia" w:hAnsi="宋体" w:cs="宋体"/>
          <w:sz w:val="21"/>
        </w:rPr>
        <w:t xml:space="preserve">14.4 货物在交付甲方前发生的风险均由乙方负责。</w:t>
      </w:r>
      <w:r/>
    </w:p>
    <w:p>
      <w:pPr>
        <w:pStyle w:val="943"/>
        <w:ind w:firstLine="420"/>
        <w:spacing w:line="360" w:lineRule="auto"/>
        <w:rPr>
          <w:rFonts w:hint="eastAsia" w:hAnsi="宋体" w:cs="宋体"/>
          <w:sz w:val="21"/>
        </w:rPr>
      </w:pPr>
      <w:r>
        <w:rPr>
          <w:rFonts w:hint="eastAsia" w:hAnsi="宋体" w:cs="宋体"/>
          <w:sz w:val="21"/>
        </w:rPr>
        <w:t xml:space="preserve">14.5 货物及服务在规定的交付期限内由乙方送达甲方指定的地点视为交付，乙方同时需通知甲方货物及服务已送达。</w:t>
      </w:r>
      <w:r/>
    </w:p>
    <w:p>
      <w:pPr>
        <w:pStyle w:val="943"/>
        <w:ind w:firstLine="422"/>
        <w:spacing w:line="360" w:lineRule="auto"/>
        <w:rPr>
          <w:rFonts w:hint="eastAsia" w:hAnsi="宋体" w:cs="宋体"/>
          <w:b/>
          <w:bCs/>
          <w:sz w:val="21"/>
        </w:rPr>
      </w:pPr>
      <w:r>
        <w:rPr>
          <w:rFonts w:hint="eastAsia" w:hAnsi="宋体" w:cs="宋体"/>
          <w:b/>
          <w:bCs/>
          <w:sz w:val="21"/>
        </w:rPr>
        <w:t xml:space="preserve">十五、违约责任</w:t>
      </w:r>
      <w:r/>
    </w:p>
    <w:p>
      <w:pPr>
        <w:pStyle w:val="943"/>
        <w:ind w:firstLine="420"/>
        <w:spacing w:line="360" w:lineRule="auto"/>
        <w:rPr>
          <w:rFonts w:hint="eastAsia" w:hAnsi="宋体" w:cs="宋体"/>
          <w:sz w:val="21"/>
        </w:rPr>
      </w:pPr>
      <w:r>
        <w:rPr>
          <w:rFonts w:hint="eastAsia" w:hAnsi="宋体" w:cs="宋体"/>
          <w:sz w:val="21"/>
        </w:rPr>
        <w:t xml:space="preserve">15.1 甲方无正当理由拒收货物及服务的，甲方向乙方偿付拒收款项总值的百分之五违约金。</w:t>
      </w:r>
      <w:r/>
    </w:p>
    <w:p>
      <w:pPr>
        <w:pStyle w:val="943"/>
        <w:ind w:firstLine="420"/>
        <w:spacing w:line="360" w:lineRule="auto"/>
        <w:rPr>
          <w:rFonts w:hint="eastAsia" w:hAnsi="宋体" w:cs="宋体"/>
          <w:sz w:val="21"/>
        </w:rPr>
      </w:pPr>
      <w:r>
        <w:rPr>
          <w:rFonts w:hint="eastAsia" w:hAnsi="宋体" w:cs="宋体"/>
          <w:sz w:val="21"/>
        </w:rPr>
        <w:t xml:space="preserve">15.2 甲方无故逾期验收和办理款项支付手续的,甲方应按逾期付款总额每日万分之五向乙方支付违约金。</w:t>
      </w:r>
      <w:r/>
    </w:p>
    <w:p>
      <w:pPr>
        <w:pStyle w:val="943"/>
        <w:ind w:firstLine="420"/>
        <w:spacing w:line="360" w:lineRule="auto"/>
        <w:rPr>
          <w:rFonts w:hint="eastAsia" w:hAnsi="宋体" w:cs="宋体"/>
          <w:sz w:val="21"/>
        </w:rPr>
      </w:pPr>
      <w:r>
        <w:rPr>
          <w:rFonts w:hint="eastAsia" w:hAnsi="宋体" w:cs="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3"/>
        <w:ind w:firstLine="420"/>
        <w:spacing w:line="360" w:lineRule="auto"/>
        <w:rPr>
          <w:rFonts w:hint="eastAsia" w:hAnsi="宋体" w:cs="宋体"/>
          <w:sz w:val="21"/>
        </w:rPr>
      </w:pPr>
      <w:r>
        <w:rPr>
          <w:rFonts w:hint="eastAsia" w:hAnsi="宋体" w:cs="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43"/>
        <w:ind w:firstLine="422"/>
        <w:spacing w:line="360" w:lineRule="auto"/>
        <w:rPr>
          <w:rFonts w:hint="eastAsia" w:hAnsi="宋体" w:cs="宋体"/>
          <w:b/>
          <w:bCs/>
          <w:sz w:val="21"/>
        </w:rPr>
      </w:pPr>
      <w:r>
        <w:rPr>
          <w:rFonts w:hint="eastAsia" w:hAnsi="宋体" w:cs="宋体"/>
          <w:b/>
          <w:bCs/>
          <w:sz w:val="21"/>
        </w:rPr>
        <w:t xml:space="preserve">十六、不可抗力事件处理</w:t>
      </w:r>
      <w:r/>
    </w:p>
    <w:p>
      <w:pPr>
        <w:pStyle w:val="943"/>
        <w:ind w:firstLine="420"/>
        <w:spacing w:line="360" w:lineRule="auto"/>
        <w:rPr>
          <w:rFonts w:hint="eastAsia" w:hAnsi="宋体" w:cs="宋体"/>
          <w:sz w:val="21"/>
        </w:rPr>
      </w:pPr>
      <w:r>
        <w:rPr>
          <w:rFonts w:hint="eastAsia" w:hAnsi="宋体" w:cs="宋体"/>
          <w:sz w:val="21"/>
        </w:rPr>
        <w:t xml:space="preserve">16.1 在合同有效期内，任何一方因不可抗力事件导致不能履行合同，则合同履行期可延长，其延长期与不可抗力影响期相同。</w:t>
      </w:r>
      <w:r/>
    </w:p>
    <w:p>
      <w:pPr>
        <w:pStyle w:val="943"/>
        <w:ind w:firstLine="420"/>
        <w:spacing w:line="360" w:lineRule="auto"/>
        <w:rPr>
          <w:rFonts w:hint="eastAsia" w:hAnsi="宋体" w:cs="宋体"/>
          <w:sz w:val="21"/>
        </w:rPr>
      </w:pPr>
      <w:r>
        <w:rPr>
          <w:rFonts w:hint="eastAsia" w:hAnsi="宋体" w:cs="宋体"/>
          <w:sz w:val="21"/>
        </w:rPr>
        <w:t xml:space="preserve">16.2 不可抗力事件发生后，应立即通知对方，并寄送有关权威机构出具的证明。</w:t>
      </w:r>
      <w:r/>
    </w:p>
    <w:p>
      <w:pPr>
        <w:pStyle w:val="943"/>
        <w:ind w:firstLine="420"/>
        <w:spacing w:line="360" w:lineRule="auto"/>
        <w:rPr>
          <w:rFonts w:hint="eastAsia" w:hAnsi="宋体" w:cs="宋体"/>
          <w:sz w:val="21"/>
        </w:rPr>
      </w:pPr>
      <w:r>
        <w:rPr>
          <w:rFonts w:hint="eastAsia" w:hAnsi="宋体" w:cs="宋体"/>
          <w:sz w:val="21"/>
        </w:rPr>
        <w:t xml:space="preserve">16.3 不可抗力事件延续120天以上，双方应通过友好协商，确定是否继续履行合同。</w:t>
      </w:r>
      <w:r/>
    </w:p>
    <w:p>
      <w:pPr>
        <w:pStyle w:val="943"/>
        <w:ind w:firstLine="422"/>
        <w:spacing w:line="360" w:lineRule="auto"/>
        <w:rPr>
          <w:rFonts w:hint="eastAsia" w:hAnsi="宋体" w:cs="宋体"/>
          <w:b/>
          <w:bCs/>
          <w:sz w:val="21"/>
        </w:rPr>
      </w:pPr>
      <w:r>
        <w:rPr>
          <w:rFonts w:hint="eastAsia" w:hAnsi="宋体" w:cs="宋体"/>
          <w:b/>
          <w:bCs/>
          <w:sz w:val="21"/>
        </w:rPr>
        <w:t xml:space="preserve">十七、诉讼</w:t>
      </w:r>
      <w:r/>
    </w:p>
    <w:p>
      <w:pPr>
        <w:pStyle w:val="943"/>
        <w:ind w:firstLine="420"/>
        <w:spacing w:line="360" w:lineRule="auto"/>
        <w:rPr>
          <w:rFonts w:hint="eastAsia" w:hAnsi="宋体" w:cs="宋体"/>
          <w:sz w:val="21"/>
        </w:rPr>
      </w:pPr>
      <w:r>
        <w:rPr>
          <w:rFonts w:hint="eastAsia" w:hAnsi="宋体" w:cs="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bCs/>
          <w:szCs w:val="21"/>
        </w:rPr>
        <w:t xml:space="preserve">为落实好政府采购履约资金扶持政策，乙方可凭政府采购合同办理融资贷款，详见江苏政府采购网“政采贷”专栏</w:t>
      </w:r>
      <w:r>
        <w:rPr>
          <w:rFonts w:hint="eastAsia" w:ascii="宋体" w:hAnsi="宋体" w:cs="宋体"/>
          <w:szCs w:val="21"/>
        </w:rPr>
        <w:t xml:space="preserve">。</w:t>
      </w:r>
      <w:r/>
    </w:p>
    <w:p>
      <w:pPr>
        <w:pStyle w:val="943"/>
        <w:ind w:firstLine="422"/>
        <w:spacing w:line="360" w:lineRule="auto"/>
        <w:rPr>
          <w:rFonts w:hint="eastAsia" w:hAnsi="宋体" w:cs="宋体"/>
          <w:b/>
          <w:bCs/>
          <w:sz w:val="21"/>
        </w:rPr>
      </w:pPr>
      <w:r>
        <w:rPr>
          <w:rFonts w:hint="eastAsia" w:hAnsi="宋体" w:cs="宋体"/>
          <w:b/>
          <w:bCs/>
          <w:sz w:val="21"/>
        </w:rPr>
        <w:t xml:space="preserve">十九、合同生效及其它</w:t>
      </w:r>
      <w:r/>
    </w:p>
    <w:p>
      <w:pPr>
        <w:pStyle w:val="943"/>
        <w:ind w:firstLine="420"/>
        <w:spacing w:line="360" w:lineRule="auto"/>
        <w:rPr>
          <w:rFonts w:hint="eastAsia" w:hAnsi="宋体" w:cs="宋体"/>
          <w:sz w:val="21"/>
        </w:rPr>
      </w:pPr>
      <w:r>
        <w:rPr>
          <w:rFonts w:hint="eastAsia" w:hAnsi="宋体" w:cs="宋体"/>
          <w:sz w:val="21"/>
        </w:rPr>
        <w:t xml:space="preserve">19.1 合同经双方法定代表人签章并加盖单位公章，并经江苏苏维工程管理有限公司见证盖章后生效。</w:t>
      </w:r>
      <w:r/>
    </w:p>
    <w:p>
      <w:pPr>
        <w:pStyle w:val="943"/>
        <w:ind w:firstLine="420"/>
        <w:spacing w:line="360" w:lineRule="auto"/>
        <w:rPr>
          <w:rFonts w:hint="eastAsia" w:hAnsi="宋体" w:cs="宋体"/>
          <w:sz w:val="21"/>
        </w:rPr>
      </w:pPr>
      <w:r>
        <w:rPr>
          <w:rFonts w:hint="eastAsia" w:hAnsi="宋体" w:cs="宋体"/>
          <w:sz w:val="21"/>
        </w:rPr>
        <w:t xml:space="preserve">19.2本合同未尽事宜，遵照《中华人民共和国民法典》《中华人民共和国政府采购法》有关条文执行。</w:t>
      </w:r>
      <w:r/>
    </w:p>
    <w:p>
      <w:pPr>
        <w:pStyle w:val="943"/>
        <w:ind w:firstLine="420"/>
        <w:spacing w:line="360" w:lineRule="auto"/>
        <w:rPr>
          <w:rFonts w:hint="eastAsia" w:hAnsi="宋体" w:cs="宋体"/>
          <w:sz w:val="21"/>
        </w:rPr>
      </w:pPr>
      <w:r>
        <w:rPr>
          <w:rFonts w:hint="eastAsia" w:hAnsi="宋体" w:cs="宋体"/>
          <w:sz w:val="21"/>
        </w:rPr>
        <w:t xml:space="preserve">19.3 本合同正本一式四份，具有同等法律效力，甲方、乙方各执两份。  </w:t>
      </w:r>
      <w:r/>
    </w:p>
    <w:tbl>
      <w:tblPr>
        <w:tblStyle w:val="754"/>
        <w:tblW w:w="8399" w:type="dxa"/>
        <w:tblInd w:w="27" w:type="dxa"/>
        <w:tblLayout w:type="fixed"/>
        <w:tblCellMar>
          <w:left w:w="108" w:type="dxa"/>
          <w:top w:w="0" w:type="dxa"/>
          <w:right w:w="108" w:type="dxa"/>
          <w:bottom w:w="0" w:type="dxa"/>
        </w:tblCellMar>
        <w:tblLook w:val="04A0" w:firstRow="1" w:lastRow="0" w:firstColumn="1" w:lastColumn="0" w:noHBand="0" w:noVBand="1"/>
      </w:tblPr>
      <w:tblGrid>
        <w:gridCol w:w="4222"/>
        <w:gridCol w:w="4177"/>
      </w:tblGrid>
      <w:tr>
        <w:trPr>
          <w:trHeight w:val="90"/>
        </w:trPr>
        <w:tc>
          <w:tcPr>
            <w:tcBorders>
              <w:top w:val="none" w:color="000000" w:sz="4" w:space="0"/>
              <w:left w:val="none" w:color="000000" w:sz="4" w:space="0"/>
              <w:bottom w:val="none" w:color="000000" w:sz="4" w:space="0"/>
              <w:right w:val="none" w:color="000000" w:sz="4" w:space="0"/>
            </w:tcBorders>
            <w:tcW w:w="4222" w:type="dxa"/>
            <w:textDirection w:val="lrTb"/>
            <w:noWrap w:val="false"/>
          </w:tcPr>
          <w:p>
            <w:pPr>
              <w:pStyle w:val="943"/>
              <w:spacing w:before="120" w:after="120" w:line="360" w:lineRule="auto"/>
              <w:rPr>
                <w:rFonts w:hint="eastAsia" w:hAnsi="宋体" w:cs="宋体"/>
                <w:sz w:val="21"/>
              </w:rPr>
            </w:pPr>
            <w:r>
              <w:rPr>
                <w:rFonts w:hint="eastAsia" w:hAnsi="宋体" w:cs="宋体"/>
                <w:sz w:val="21"/>
              </w:rPr>
            </w:r>
            <w:r/>
          </w:p>
          <w:p>
            <w:pPr>
              <w:pStyle w:val="943"/>
              <w:spacing w:before="120" w:after="120" w:line="360" w:lineRule="auto"/>
              <w:rPr>
                <w:rFonts w:hint="eastAsia" w:hAnsi="宋体" w:cs="宋体"/>
                <w:sz w:val="21"/>
              </w:rPr>
            </w:pPr>
            <w:r>
              <w:rPr>
                <w:rFonts w:hint="eastAsia" w:hAnsi="宋体" w:cs="宋体"/>
                <w:sz w:val="21"/>
              </w:rPr>
              <w:t xml:space="preserve">甲方：江苏省苏北人民医院</w:t>
            </w:r>
            <w:r/>
          </w:p>
        </w:tc>
        <w:tc>
          <w:tcPr>
            <w:tcBorders>
              <w:top w:val="none" w:color="000000" w:sz="4" w:space="0"/>
              <w:left w:val="none" w:color="000000" w:sz="4" w:space="0"/>
              <w:bottom w:val="none" w:color="000000" w:sz="4" w:space="0"/>
              <w:right w:val="none" w:color="000000" w:sz="4" w:space="0"/>
            </w:tcBorders>
            <w:tcW w:w="4177" w:type="dxa"/>
            <w:textDirection w:val="lrTb"/>
            <w:noWrap w:val="false"/>
          </w:tcPr>
          <w:p>
            <w:pPr>
              <w:pStyle w:val="943"/>
              <w:spacing w:before="120" w:after="120" w:line="360" w:lineRule="auto"/>
              <w:rPr>
                <w:rFonts w:hint="eastAsia" w:hAnsi="宋体" w:cs="宋体"/>
                <w:sz w:val="21"/>
              </w:rPr>
            </w:pPr>
            <w:r>
              <w:rPr>
                <w:rFonts w:hint="eastAsia" w:hAnsi="宋体" w:cs="宋体"/>
                <w:sz w:val="21"/>
              </w:rPr>
            </w:r>
            <w:r/>
          </w:p>
          <w:p>
            <w:pPr>
              <w:pStyle w:val="943"/>
              <w:spacing w:before="120" w:after="120" w:line="360" w:lineRule="auto"/>
              <w:rPr>
                <w:rFonts w:hint="eastAsia" w:hAnsi="宋体" w:cs="宋体"/>
                <w:sz w:val="21"/>
              </w:rPr>
            </w:pPr>
            <w:r>
              <w:rPr>
                <w:rFonts w:hint="eastAsia" w:hAnsi="宋体" w:cs="宋体"/>
                <w:sz w:val="21"/>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22"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地址：</w:t>
            </w:r>
            <w:r/>
          </w:p>
        </w:tc>
        <w:tc>
          <w:tcPr>
            <w:tcBorders>
              <w:top w:val="none" w:color="000000" w:sz="4" w:space="0"/>
              <w:left w:val="none" w:color="000000" w:sz="4" w:space="0"/>
              <w:bottom w:val="none" w:color="000000" w:sz="4" w:space="0"/>
              <w:right w:val="none" w:color="000000" w:sz="4" w:space="0"/>
            </w:tcBorders>
            <w:tcW w:w="4177"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22"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177"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22"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联系电话：</w:t>
            </w:r>
            <w:r/>
          </w:p>
        </w:tc>
        <w:tc>
          <w:tcPr>
            <w:tcBorders>
              <w:top w:val="none" w:color="000000" w:sz="4" w:space="0"/>
              <w:left w:val="none" w:color="000000" w:sz="4" w:space="0"/>
              <w:bottom w:val="none" w:color="000000" w:sz="4" w:space="0"/>
              <w:right w:val="none" w:color="000000" w:sz="4" w:space="0"/>
            </w:tcBorders>
            <w:tcW w:w="4177"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22"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日期：2025年    月    日  </w:t>
            </w:r>
            <w:r/>
          </w:p>
        </w:tc>
        <w:tc>
          <w:tcPr>
            <w:tcBorders>
              <w:top w:val="none" w:color="000000" w:sz="4" w:space="0"/>
              <w:left w:val="none" w:color="000000" w:sz="4" w:space="0"/>
              <w:bottom w:val="none" w:color="000000" w:sz="4" w:space="0"/>
              <w:right w:val="none" w:color="000000" w:sz="4" w:space="0"/>
            </w:tcBorders>
            <w:tcW w:w="4177"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日期：2025年    月    日</w:t>
            </w:r>
            <w:r/>
          </w:p>
        </w:tc>
      </w:tr>
      <w:tr>
        <w:trPr>
          <w:trHeight w:val="90"/>
        </w:trPr>
        <w:tc>
          <w:tcPr>
            <w:tcBorders>
              <w:top w:val="none" w:color="000000" w:sz="4" w:space="0"/>
              <w:left w:val="none" w:color="000000" w:sz="4" w:space="0"/>
              <w:bottom w:val="none" w:color="000000" w:sz="4" w:space="0"/>
              <w:right w:val="none" w:color="000000" w:sz="4" w:space="0"/>
            </w:tcBorders>
            <w:tcW w:w="4222"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177" w:type="dxa"/>
            <w:textDirection w:val="lrTb"/>
            <w:noWrap w:val="false"/>
          </w:tcPr>
          <w:p>
            <w:pPr>
              <w:pStyle w:val="943"/>
              <w:spacing w:before="120" w:after="120" w:line="360" w:lineRule="auto"/>
              <w:rPr>
                <w:rFonts w:hint="eastAsia" w:hAnsi="宋体" w:cs="宋体"/>
                <w:sz w:val="21"/>
              </w:rPr>
            </w:pPr>
            <w:r>
              <w:rPr>
                <w:rFonts w:hint="eastAsia" w:hAnsi="宋体" w:cs="宋体"/>
                <w:sz w:val="21"/>
              </w:rPr>
            </w:r>
            <w:r/>
          </w:p>
        </w:tc>
      </w:tr>
      <w:tr>
        <w:trPr>
          <w:trHeight w:val="90"/>
        </w:trPr>
        <w:tc>
          <w:tcPr>
            <w:tcBorders>
              <w:top w:val="none" w:color="000000" w:sz="4" w:space="0"/>
              <w:left w:val="none" w:color="000000" w:sz="4" w:space="0"/>
              <w:bottom w:val="none" w:color="000000" w:sz="4" w:space="0"/>
              <w:right w:val="none" w:color="000000" w:sz="4" w:space="0"/>
            </w:tcBorders>
            <w:tcW w:w="4222"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项目经办人：</w:t>
            </w:r>
            <w:r/>
          </w:p>
        </w:tc>
        <w:tc>
          <w:tcPr>
            <w:tcBorders>
              <w:top w:val="none" w:color="000000" w:sz="4" w:space="0"/>
              <w:left w:val="none" w:color="000000" w:sz="4" w:space="0"/>
              <w:bottom w:val="none" w:color="000000" w:sz="4" w:space="0"/>
              <w:right w:val="none" w:color="000000" w:sz="4" w:space="0"/>
            </w:tcBorders>
            <w:tcW w:w="4177" w:type="dxa"/>
            <w:textDirection w:val="lrTb"/>
            <w:noWrap w:val="false"/>
          </w:tcPr>
          <w:p>
            <w:pPr>
              <w:pStyle w:val="943"/>
              <w:spacing w:before="120" w:after="120" w:line="360" w:lineRule="auto"/>
              <w:rPr>
                <w:rFonts w:hint="eastAsia" w:hAnsi="宋体" w:cs="宋体"/>
                <w:sz w:val="21"/>
              </w:rPr>
            </w:pPr>
            <w:r>
              <w:rPr>
                <w:rFonts w:hint="eastAsia" w:hAnsi="宋体" w:cs="宋体"/>
                <w:sz w:val="21"/>
              </w:rPr>
            </w:r>
            <w:r/>
          </w:p>
        </w:tc>
      </w:tr>
      <w:tr>
        <w:trPr>
          <w:trHeight w:val="90"/>
        </w:trPr>
        <w:tc>
          <w:tcPr>
            <w:tcBorders>
              <w:top w:val="none" w:color="000000" w:sz="4" w:space="0"/>
              <w:left w:val="none" w:color="000000" w:sz="4" w:space="0"/>
              <w:bottom w:val="none" w:color="000000" w:sz="4" w:space="0"/>
              <w:right w:val="none" w:color="000000" w:sz="4" w:space="0"/>
            </w:tcBorders>
            <w:tcW w:w="4222" w:type="dxa"/>
            <w:textDirection w:val="lrTb"/>
            <w:noWrap w:val="false"/>
          </w:tcPr>
          <w:p>
            <w:pPr>
              <w:pStyle w:val="943"/>
              <w:spacing w:before="120" w:after="120" w:line="360" w:lineRule="auto"/>
              <w:rPr>
                <w:rFonts w:hint="eastAsia" w:hAnsi="宋体" w:cs="宋体"/>
                <w:sz w:val="21"/>
              </w:rPr>
            </w:pPr>
            <w:r>
              <w:rPr>
                <w:rFonts w:hint="eastAsia" w:hAnsi="宋体" w:cs="宋体"/>
                <w:sz w:val="21"/>
              </w:rPr>
              <w:t xml:space="preserve">日期：2025年    月    日 </w:t>
            </w:r>
            <w:r/>
          </w:p>
        </w:tc>
        <w:tc>
          <w:tcPr>
            <w:tcBorders>
              <w:top w:val="none" w:color="000000" w:sz="4" w:space="0"/>
              <w:left w:val="none" w:color="000000" w:sz="4" w:space="0"/>
              <w:bottom w:val="none" w:color="000000" w:sz="4" w:space="0"/>
              <w:right w:val="none" w:color="000000" w:sz="4" w:space="0"/>
            </w:tcBorders>
            <w:tcW w:w="4177" w:type="dxa"/>
            <w:textDirection w:val="lrTb"/>
            <w:noWrap w:val="false"/>
          </w:tcPr>
          <w:p>
            <w:pPr>
              <w:pStyle w:val="943"/>
              <w:spacing w:before="120" w:after="120" w:line="360" w:lineRule="auto"/>
              <w:rPr>
                <w:rFonts w:hint="eastAsia" w:hAnsi="宋体" w:cs="宋体"/>
                <w:sz w:val="21"/>
              </w:rPr>
            </w:pPr>
            <w:r>
              <w:rPr>
                <w:rFonts w:hint="eastAsia" w:hAnsi="宋体" w:cs="宋体"/>
                <w:sz w:val="21"/>
              </w:rPr>
            </w:r>
            <w:r/>
          </w:p>
        </w:tc>
      </w:tr>
    </w:tbl>
    <w:p>
      <w:pPr>
        <w:rPr>
          <w:rFonts w:hint="eastAsia" w:ascii="宋体" w:hAnsi="宋体" w:cs="宋体"/>
        </w:rPr>
      </w:pPr>
      <w:r>
        <w:rPr>
          <w:rFonts w:hint="eastAsia" w:ascii="宋体" w:hAnsi="宋体" w:cs="宋体"/>
        </w:rPr>
        <w:br w:type="page" w:clear="all"/>
      </w:r>
      <w:bookmarkEnd w:id="58"/>
      <w:r/>
      <w:r/>
    </w:p>
    <w:p>
      <w:pPr>
        <w:pStyle w:val="744"/>
        <w:numPr>
          <w:ilvl w:val="0"/>
          <w:numId w:val="3"/>
        </w:numPr>
      </w:pPr>
      <w:r/>
      <w:bookmarkStart w:id="59" w:name="_Toc12506"/>
      <w:r>
        <w:rPr>
          <w:rFonts w:hint="eastAsia"/>
        </w:rPr>
        <w:t xml:space="preserve">项目需求</w:t>
      </w:r>
      <w:bookmarkEnd w:id="59"/>
      <w:r/>
      <w:r/>
    </w:p>
    <w:p>
      <w:pPr>
        <w:ind w:firstLine="422"/>
        <w:spacing w:line="360" w:lineRule="auto"/>
        <w:rPr>
          <w:rFonts w:hint="eastAsia" w:ascii="宋体" w:hAnsi="宋体" w:cs="宋体"/>
          <w:b/>
          <w:bCs/>
          <w:szCs w:val="21"/>
        </w:rPr>
      </w:pPr>
      <w:r/>
      <w:bookmarkStart w:id="60" w:name="_Toc319408306"/>
      <w:r>
        <w:rPr>
          <w:rFonts w:hint="eastAsia" w:ascii="宋体" w:hAnsi="宋体" w:cs="宋体"/>
          <w:b/>
          <w:bCs/>
          <w:szCs w:val="21"/>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755"/>
        <w:ind w:left="0" w:firstLine="422"/>
        <w:keepLines w:val="0"/>
        <w:keepNext w:val="0"/>
        <w:pageBreakBefore w:val="0"/>
        <w:spacing w:after="0" w:line="360" w:lineRule="auto"/>
        <w:widowControl w:val="off"/>
        <w:rPr>
          <w:rFonts w:hint="eastAsia" w:ascii="宋体" w:hAnsi="宋体" w:eastAsia="宋体" w:cs="宋体"/>
          <w:b/>
          <w:bCs/>
        </w:rPr>
      </w:pPr>
      <w:r>
        <w:rPr>
          <w:rFonts w:hint="eastAsia" w:ascii="宋体" w:hAnsi="宋体" w:eastAsia="宋体" w:cs="宋体"/>
          <w:b/>
          <w:bCs/>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bookmarkEnd w:id="60"/>
      <w:r/>
      <w:r/>
    </w:p>
    <w:p>
      <w:pPr>
        <w:numPr>
          <w:ilvl w:val="0"/>
          <w:numId w:val="4"/>
        </w:numPr>
        <w:ind w:left="420"/>
        <w:spacing w:line="360" w:lineRule="auto"/>
        <w:rPr>
          <w:rFonts w:hint="eastAsia" w:ascii="宋体" w:hAnsi="宋体" w:cs="宋体"/>
          <w:b/>
          <w:bCs/>
          <w:szCs w:val="21"/>
        </w:rPr>
      </w:pPr>
      <w:r/>
      <w:bookmarkStart w:id="61" w:name="_Toc55204181"/>
      <w:r>
        <w:rPr>
          <w:rFonts w:hint="eastAsia" w:ascii="宋体" w:hAnsi="宋体" w:cs="宋体"/>
          <w:b/>
          <w:bCs/>
          <w:szCs w:val="21"/>
        </w:rPr>
        <w:t xml:space="preserve">采购清单</w:t>
      </w:r>
      <w:r/>
    </w:p>
    <w:p>
      <w:pPr>
        <w:pStyle w:val="977"/>
        <w:ind w:firstLine="422"/>
        <w:jc w:val="left"/>
        <w:spacing w:line="360" w:lineRule="auto"/>
        <w:rPr>
          <w:color w:val="auto"/>
        </w:rPr>
      </w:pPr>
      <w:r>
        <w:rPr>
          <w:rFonts w:hint="eastAsia" w:hAnsi="宋体" w:cs="宋体"/>
          <w:b/>
          <w:bCs/>
          <w:i/>
          <w:iCs/>
          <w:color w:val="auto"/>
          <w:szCs w:val="21"/>
          <w:highlight w:val="none"/>
          <w:u w:val="single"/>
        </w:rPr>
        <w:t xml:space="preserve">最高限价：3</w:t>
      </w:r>
      <w:r>
        <w:rPr>
          <w:rFonts w:hint="eastAsia" w:hAnsi="宋体" w:cs="宋体"/>
          <w:b/>
          <w:bCs/>
          <w:i/>
          <w:iCs/>
          <w:color w:val="auto"/>
          <w:szCs w:val="21"/>
          <w:highlight w:val="none"/>
          <w:u w:val="single"/>
          <w:lang w:val="en-US" w:eastAsia="zh-CN"/>
        </w:rPr>
        <w:t xml:space="preserve">00</w:t>
      </w:r>
      <w:r>
        <w:rPr>
          <w:rFonts w:hint="eastAsia" w:hAnsi="宋体" w:cs="宋体"/>
          <w:b/>
          <w:bCs/>
          <w:i/>
          <w:iCs/>
          <w:color w:val="auto"/>
          <w:szCs w:val="21"/>
          <w:highlight w:val="none"/>
          <w:u w:val="single"/>
        </w:rPr>
        <w:t xml:space="preserve">万元，投标人报价不得高出最高限价，否则做无效投标处理。（提供开标一览表，扫描上传系统）</w:t>
      </w:r>
      <w:r/>
    </w:p>
    <w:tbl>
      <w:tblPr>
        <w:tblStyle w:val="7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1"/>
        <w:gridCol w:w="989"/>
        <w:gridCol w:w="5114"/>
      </w:tblGrid>
      <w:tr>
        <w:trPr>
          <w:jc w:val="center"/>
        </w:trPr>
        <w:tc>
          <w:tcPr>
            <w:tcW w:w="392"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1027"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名称</w:t>
            </w:r>
            <w:r/>
          </w:p>
        </w:tc>
        <w:tc>
          <w:tcPr>
            <w:tcW w:w="580"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数量</w:t>
            </w:r>
            <w:r/>
          </w:p>
        </w:tc>
        <w:tc>
          <w:tcPr>
            <w:tcW w:w="2999"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备注</w:t>
            </w:r>
            <w:r/>
          </w:p>
        </w:tc>
      </w:tr>
      <w:tr>
        <w:trPr>
          <w:jc w:val="center"/>
          <w:trHeight w:val="468"/>
        </w:trPr>
        <w:tc>
          <w:tcPr>
            <w:tcW w:w="392" w:type="pct"/>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1</w:t>
            </w:r>
            <w:r/>
          </w:p>
        </w:tc>
        <w:tc>
          <w:tcPr>
            <w:tcW w:w="1027"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ICU 数智化管理系统软件</w:t>
            </w:r>
            <w:r/>
          </w:p>
        </w:tc>
        <w:tc>
          <w:tcPr>
            <w:tcW w:w="580"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1套</w:t>
            </w:r>
            <w:r/>
          </w:p>
        </w:tc>
        <w:tc>
          <w:tcPr>
            <w:tcW w:w="2999" w:type="pct"/>
            <w:vAlign w:val="center"/>
            <w:vMerge w:val="restart"/>
            <w:textDirection w:val="lrTb"/>
            <w:noWrap w:val="false"/>
          </w:tcPr>
          <w:p>
            <w:pPr>
              <w:rPr>
                <w:rFonts w:hint="eastAsia" w:ascii="华文宋体" w:hAnsi="华文宋体"/>
                <w:szCs w:val="21"/>
              </w:rPr>
            </w:pPr>
            <w:r>
              <w:rPr>
                <w:rFonts w:hint="eastAsia" w:ascii="华文宋体" w:hAnsi="华文宋体"/>
                <w:szCs w:val="21"/>
              </w:rPr>
              <w:t xml:space="preserve">1、本项目拟为全院多个病区建设数智化管理系统，主要覆盖医院</w:t>
            </w:r>
            <w:r>
              <w:rPr>
                <w:rFonts w:ascii="Times New Roman" w:hAnsi="Times New Roman"/>
                <w:szCs w:val="21"/>
              </w:rPr>
              <w:t xml:space="preserve">ICU</w:t>
            </w:r>
            <w:r>
              <w:rPr>
                <w:rFonts w:hint="eastAsia" w:ascii="Times New Roman" w:hAnsi="Times New Roman"/>
                <w:szCs w:val="21"/>
              </w:rPr>
              <w:t xml:space="preserve"> </w:t>
            </w:r>
            <w:r>
              <w:rPr>
                <w:rFonts w:ascii="Times New Roman" w:hAnsi="Times New Roman"/>
                <w:szCs w:val="21"/>
              </w:rPr>
              <w:t xml:space="preserve">4</w:t>
            </w:r>
            <w:r>
              <w:rPr>
                <w:rFonts w:hint="eastAsia" w:ascii="Times New Roman" w:hAnsi="Times New Roman"/>
                <w:szCs w:val="21"/>
              </w:rPr>
              <w:t xml:space="preserve">5</w:t>
            </w:r>
            <w:r>
              <w:rPr>
                <w:rFonts w:ascii="Times New Roman" w:hAnsi="Times New Roman"/>
                <w:szCs w:val="21"/>
              </w:rPr>
              <w:t xml:space="preserve">床，RICU 9床，CCU</w:t>
            </w:r>
            <w:r>
              <w:rPr>
                <w:rFonts w:hint="eastAsia" w:ascii="Times New Roman" w:hAnsi="Times New Roman"/>
                <w:szCs w:val="21"/>
              </w:rPr>
              <w:t xml:space="preserve"> </w:t>
            </w:r>
            <w:r>
              <w:rPr>
                <w:rFonts w:ascii="Times New Roman" w:hAnsi="Times New Roman"/>
                <w:szCs w:val="21"/>
              </w:rPr>
              <w:t xml:space="preserve">12床，ECIU 19床，BICU</w:t>
            </w:r>
            <w:r>
              <w:rPr>
                <w:rFonts w:hint="eastAsia" w:ascii="Times New Roman" w:hAnsi="Times New Roman"/>
                <w:szCs w:val="21"/>
              </w:rPr>
              <w:t xml:space="preserve"> </w:t>
            </w:r>
            <w:r>
              <w:rPr>
                <w:rFonts w:ascii="Times New Roman" w:hAnsi="Times New Roman"/>
                <w:szCs w:val="21"/>
              </w:rPr>
              <w:t xml:space="preserve">9床</w:t>
            </w:r>
            <w:r>
              <w:rPr>
                <w:rFonts w:hint="eastAsia" w:ascii="华文宋体" w:hAnsi="华文宋体"/>
                <w:szCs w:val="21"/>
              </w:rPr>
              <w:t xml:space="preserve">；</w:t>
            </w:r>
            <w:r/>
          </w:p>
          <w:p>
            <w:pPr>
              <w:rPr>
                <w:rFonts w:hint="eastAsia" w:ascii="华文宋体" w:hAnsi="华文宋体"/>
                <w:szCs w:val="21"/>
              </w:rPr>
            </w:pPr>
            <w:r>
              <w:rPr>
                <w:rFonts w:hint="eastAsia" w:ascii="华文宋体" w:hAnsi="华文宋体"/>
                <w:szCs w:val="21"/>
              </w:rPr>
              <w:t xml:space="preserve">2、我院目前</w:t>
            </w:r>
            <w:r>
              <w:rPr>
                <w:rFonts w:hint="eastAsia" w:ascii="华文宋体" w:hAnsi="华文宋体"/>
                <w:szCs w:val="21"/>
                <w:lang w:val="en-US" w:eastAsia="zh-CN"/>
              </w:rPr>
              <w:t xml:space="preserve">已</w:t>
            </w:r>
            <w:r>
              <w:rPr>
                <w:rFonts w:hint="eastAsia" w:ascii="华文宋体" w:hAnsi="华文宋体"/>
                <w:szCs w:val="21"/>
              </w:rPr>
              <w:t xml:space="preserve">为电子病历六级过审单位，供应商提供的系统需满足电子病历</w:t>
            </w:r>
            <w:r>
              <w:rPr>
                <w:rFonts w:hint="eastAsia" w:ascii="华文宋体" w:hAnsi="华文宋体"/>
                <w:szCs w:val="21"/>
                <w:lang w:val="en-US" w:eastAsia="zh-CN"/>
              </w:rPr>
              <w:t xml:space="preserve">七</w:t>
            </w:r>
            <w:r>
              <w:rPr>
                <w:rFonts w:hint="eastAsia" w:ascii="华文宋体" w:hAnsi="华文宋体"/>
                <w:szCs w:val="21"/>
              </w:rPr>
              <w:t xml:space="preserve">级</w:t>
            </w:r>
            <w:r>
              <w:rPr>
                <w:rFonts w:hint="eastAsia" w:ascii="华文宋体" w:hAnsi="华文宋体"/>
                <w:szCs w:val="21"/>
                <w:lang w:val="en-US" w:eastAsia="zh-CN"/>
              </w:rPr>
              <w:t xml:space="preserve">及以上</w:t>
            </w:r>
            <w:r>
              <w:rPr>
                <w:rFonts w:hint="eastAsia" w:ascii="华文宋体" w:hAnsi="华文宋体"/>
                <w:szCs w:val="21"/>
              </w:rPr>
              <w:t xml:space="preserve">要求；</w:t>
            </w:r>
            <w:r/>
          </w:p>
        </w:tc>
      </w:tr>
    </w:tbl>
    <w:p>
      <w:pPr>
        <w:ind w:left="420"/>
        <w:spacing w:line="360" w:lineRule="auto"/>
        <w:rPr>
          <w:rFonts w:hint="eastAsia" w:ascii="宋体" w:hAnsi="宋体" w:cs="宋体"/>
          <w:b/>
          <w:bCs/>
          <w:szCs w:val="21"/>
        </w:rPr>
      </w:pPr>
      <w:r>
        <w:rPr>
          <w:rFonts w:hint="eastAsia" w:ascii="宋体" w:hAnsi="宋体" w:cs="宋体"/>
          <w:b/>
          <w:bCs/>
          <w:szCs w:val="21"/>
        </w:rPr>
      </w:r>
      <w:r/>
    </w:p>
    <w:p>
      <w:pPr>
        <w:ind w:left="420"/>
        <w:spacing w:line="360" w:lineRule="auto"/>
        <w:rPr>
          <w:rFonts w:hint="eastAsia" w:ascii="宋体" w:hAnsi="宋体" w:cs="宋体"/>
          <w:b/>
          <w:bCs/>
          <w:szCs w:val="21"/>
        </w:rPr>
      </w:pPr>
      <w:r>
        <w:rPr>
          <w:rFonts w:hint="eastAsia" w:ascii="宋体" w:hAnsi="宋体" w:cs="宋体"/>
          <w:b/>
          <w:bCs/>
          <w:szCs w:val="21"/>
        </w:rPr>
        <w:t xml:space="preserve">二、技术参数要求</w:t>
      </w:r>
      <w:r/>
    </w:p>
    <w:tbl>
      <w:tblPr>
        <w:tblStyle w:val="777"/>
        <w:tblpPr w:horzAnchor="text" w:tblpXSpec="left" w:vertAnchor="text" w:tblpY="1"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0"/>
        <w:gridCol w:w="7360"/>
      </w:tblGrid>
      <w:tr>
        <w:trPr/>
        <w:tc>
          <w:tcPr>
            <w:tcW w:w="681" w:type="pct"/>
            <w:vAlign w:val="center"/>
            <w:textDirection w:val="lrTb"/>
            <w:noWrap w:val="false"/>
          </w:tcPr>
          <w:p>
            <w:pPr>
              <w:jc w:val="center"/>
              <w:rPr>
                <w:rFonts w:ascii="Times New Roman" w:hAnsi="Times New Roman"/>
                <w:szCs w:val="21"/>
              </w:rPr>
            </w:pPr>
            <w:r/>
            <w:bookmarkStart w:id="62" w:name="OLE_LINK1"/>
            <w:r>
              <w:rPr>
                <w:rFonts w:ascii="Times New Roman" w:hAnsi="Times New Roman"/>
                <w:szCs w:val="21"/>
              </w:rPr>
              <w:t xml:space="preserve">模块</w:t>
            </w:r>
            <w:r/>
          </w:p>
        </w:tc>
        <w:tc>
          <w:tcPr>
            <w:tcW w:w="4319" w:type="pct"/>
            <w:vAlign w:val="center"/>
            <w:textDirection w:val="lrTb"/>
            <w:noWrap w:val="false"/>
          </w:tcPr>
          <w:p>
            <w:pPr>
              <w:ind w:firstLine="2530"/>
              <w:rPr>
                <w:rFonts w:ascii="Times New Roman" w:hAnsi="Times New Roman"/>
                <w:b/>
                <w:bCs/>
                <w:szCs w:val="21"/>
              </w:rPr>
            </w:pPr>
            <w:r>
              <w:rPr>
                <w:rFonts w:ascii="Times New Roman" w:hAnsi="Times New Roman"/>
                <w:b/>
                <w:bCs/>
                <w:szCs w:val="21"/>
              </w:rPr>
              <w:t xml:space="preserve">功能说明</w:t>
            </w:r>
            <w:r/>
          </w:p>
        </w:tc>
      </w:tr>
      <w:tr>
        <w:trPr>
          <w:trHeight w:val="84"/>
        </w:trPr>
        <w:tc>
          <w:tcPr>
            <w:gridSpan w:val="2"/>
            <w:tcW w:w="5000" w:type="pct"/>
            <w:vAlign w:val="center"/>
            <w:textDirection w:val="lrTb"/>
            <w:noWrap w:val="false"/>
          </w:tcPr>
          <w:p>
            <w:pPr>
              <w:jc w:val="center"/>
              <w:rPr>
                <w:rFonts w:ascii="Times New Roman" w:hAnsi="Times New Roman"/>
                <w:b/>
                <w:bCs/>
                <w:szCs w:val="21"/>
              </w:rPr>
            </w:pPr>
            <w:r>
              <w:rPr>
                <w:rFonts w:ascii="Times New Roman" w:hAnsi="Times New Roman"/>
                <w:b/>
                <w:bCs/>
                <w:szCs w:val="21"/>
              </w:rPr>
              <w:t xml:space="preserve">医护工作站</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设备集成</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支持基于强弱电监控协议对多种重症监护设备，包括各类型监护仪、呼吸机、PICCO、血滤机、血气分析仪等进行信息采集，设备上各类型数据可自动记录至重症护理记录单上，实现数据自动记录、采集、存储；</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支持通过大数据传输协议，将采集后的监护数据进行数据处理和存储，支持基于预警算法，自定义不同的患者可以根据实际情况自定义采集频率，包括设备的正常值、告警值等，对异常的数据进行预警提示；</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支持实时采集所有持续肾脏替代疗法设备净化数据，遵循标准传输协议，将采集的监测数据基于标准格式进行融合转换，采集数据如前稀置换液、透析液、废液等信息；</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支持对监护设备进行使用统计分析，包括使用时长统计、使用率分析等，并提供设备绑定全流程记录，为科室统计设备使用提供数据支撑；</w:t>
            </w:r>
            <w:r/>
          </w:p>
          <w:p>
            <w:pPr>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支持沿用医院整体内网建设，采集数据经医院内网直接存储至信息中心大数据服务器机房；</w:t>
            </w:r>
            <w:r/>
          </w:p>
          <w:p>
            <w:pPr>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支持适配多种场景，包括已完成原设备厂商中央站组网的联网设备、通过有线连接的单机设备、通过有线连接的自组网设备、使用无线网络连接的单机设备；</w:t>
            </w:r>
            <w:r/>
          </w:p>
          <w:p>
            <w:pPr>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系统具备高性能分发组件，集成信息以无阻塞通讯方式将海量、复杂的数据进行分发、供医院大量消费；</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信息集成</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支持多种方式与医院其他信息系统集成，实现数据互联互通，方式包含但不限于视图、Web Service、存储过程、HL7等；</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支持HIS系统集成，包括进行科室分区、患者基本信息、工作人员基本信息、床位信息、患者在院信息、医嘱信息等数据的集成；</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支持LIS/PACS-RIS系统集成，包括对检查、检验信息的结果数据、过程数据、报告调取等；</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支持EMR系统集成，包括与医生电子病历信息的对接，实现诊断信息、病程记录信息、出入院信息、医嘱执行信息的集成</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支持提供全院要求的统一浏览的记录，比如生命体征、出入量、护理评估、体温单等能通过接口完整的发送到医院信息系统；</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床位管理</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患者入科：</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支持患者正常入科，可以从医院信息系统自动获取患者基本信息，比如姓名、性别、年龄及住院号等；</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支持为患者预约床位，能对预约患者进行取消预约或者入科操作；</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支持为患者紧急入科，能对紧急入科的患者补充完整的患者信息；</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支持忽略待入科患者中长时间未入科的患者；</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科室总览：</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支持快速查看和编辑患者详细信息；</w:t>
            </w:r>
            <w:r/>
          </w:p>
          <w:p>
            <w:pPr>
              <w:rPr>
                <w:rFonts w:ascii="Times New Roman" w:hAnsi="Times New Roman"/>
                <w:szCs w:val="21"/>
              </w:rPr>
            </w:pPr>
            <w:r>
              <w:rPr>
                <w:rFonts w:hint="eastAsia" w:ascii="Times New Roman" w:hAnsi="Times New Roman"/>
                <w:szCs w:val="21"/>
              </w:rPr>
              <w:t xml:space="preserve">2.2</w:t>
            </w:r>
            <w:r>
              <w:rPr>
                <w:rFonts w:ascii="Times New Roman" w:hAnsi="Times New Roman"/>
                <w:szCs w:val="21"/>
              </w:rPr>
              <w:t xml:space="preserve">支持一键更新患者信息，当院内信息系统更新了患者基本信息，可同步更新至床旁护理系统；</w:t>
            </w:r>
            <w:r/>
          </w:p>
          <w:p>
            <w:pPr>
              <w:rPr>
                <w:rFonts w:ascii="Times New Roman" w:hAnsi="Times New Roman"/>
                <w:szCs w:val="21"/>
              </w:rPr>
            </w:pPr>
            <w:r>
              <w:rPr>
                <w:rFonts w:hint="eastAsia" w:ascii="Times New Roman" w:hAnsi="Times New Roman"/>
                <w:szCs w:val="21"/>
              </w:rPr>
              <w:t xml:space="preserve">2.3</w:t>
            </w:r>
            <w:r>
              <w:rPr>
                <w:rFonts w:ascii="Times New Roman" w:hAnsi="Times New Roman"/>
                <w:szCs w:val="21"/>
              </w:rPr>
              <w:t xml:space="preserve">支持自动同步患者诊断信息，可以修改和新增诊断，可以自动ICD编码识别</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ICD名称；</w:t>
            </w:r>
            <w:r/>
          </w:p>
          <w:p>
            <w:pPr>
              <w:rPr>
                <w:rFonts w:ascii="Times New Roman" w:hAnsi="Times New Roman"/>
                <w:szCs w:val="21"/>
              </w:rPr>
            </w:pPr>
            <w:r>
              <w:rPr>
                <w:rFonts w:hint="eastAsia" w:ascii="Times New Roman" w:hAnsi="Times New Roman"/>
                <w:szCs w:val="21"/>
              </w:rPr>
              <w:t xml:space="preserve">3.1</w:t>
            </w:r>
            <w:r>
              <w:rPr>
                <w:rFonts w:ascii="Times New Roman" w:hAnsi="Times New Roman"/>
                <w:szCs w:val="21"/>
              </w:rPr>
              <w:t xml:space="preserve">支持自动集成患者在院期间的科室流转信息，并且根据患者流转记录自动判断19项国家质控指标中的转出48H内重返；</w:t>
            </w:r>
            <w:r/>
          </w:p>
          <w:p>
            <w:pPr>
              <w:rPr>
                <w:rFonts w:ascii="Times New Roman" w:hAnsi="Times New Roman"/>
                <w:szCs w:val="21"/>
              </w:rPr>
            </w:pPr>
            <w:r>
              <w:rPr>
                <w:rFonts w:hint="eastAsia" w:ascii="Times New Roman" w:hAnsi="Times New Roman"/>
                <w:szCs w:val="21"/>
              </w:rPr>
              <w:t xml:space="preserve">3.2</w:t>
            </w:r>
            <w:r>
              <w:rPr>
                <w:rFonts w:ascii="Times New Roman" w:hAnsi="Times New Roman"/>
                <w:szCs w:val="21"/>
              </w:rPr>
              <w:t xml:space="preserve">支持自动集成患者手术信息，供医护人员快速判断19项国家质控指标中术后非计划转入；</w:t>
            </w:r>
            <w:r/>
          </w:p>
          <w:p>
            <w:pPr>
              <w:rPr>
                <w:rFonts w:ascii="Times New Roman" w:hAnsi="Times New Roman"/>
                <w:szCs w:val="21"/>
              </w:rPr>
            </w:pPr>
            <w:r>
              <w:rPr>
                <w:rFonts w:hint="eastAsia" w:ascii="Times New Roman" w:hAnsi="Times New Roman"/>
                <w:szCs w:val="21"/>
              </w:rPr>
              <w:t xml:space="preserve">3.3</w:t>
            </w:r>
            <w:r>
              <w:rPr>
                <w:rFonts w:ascii="Times New Roman" w:hAnsi="Times New Roman"/>
                <w:szCs w:val="21"/>
              </w:rPr>
              <w:t xml:space="preserve">支持为每个患者设置标签，比如过敏信息、护理等级、高危风险、病情状态等，标签支持自定义，并且标签支持智能匹配，符合条件将自动点亮；</w:t>
            </w:r>
            <w:r/>
          </w:p>
          <w:p>
            <w:pPr>
              <w:rPr>
                <w:rFonts w:ascii="Times New Roman" w:hAnsi="Times New Roman"/>
                <w:szCs w:val="21"/>
              </w:rPr>
            </w:pPr>
            <w:r>
              <w:rPr>
                <w:rFonts w:hint="eastAsia" w:ascii="Times New Roman" w:hAnsi="Times New Roman"/>
                <w:szCs w:val="21"/>
              </w:rPr>
              <w:t xml:space="preserve">3.4</w:t>
            </w:r>
            <w:r>
              <w:rPr>
                <w:rFonts w:ascii="Times New Roman" w:hAnsi="Times New Roman"/>
                <w:szCs w:val="21"/>
              </w:rPr>
              <w:t xml:space="preserve">支持根据护士每日排班提供护士自主选择当前负责患者，并且只显示所负责的</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患者列表；</w:t>
            </w:r>
            <w:r/>
          </w:p>
          <w:p>
            <w:pPr>
              <w:rPr>
                <w:rFonts w:ascii="Times New Roman" w:hAnsi="Times New Roman"/>
                <w:szCs w:val="21"/>
              </w:rPr>
            </w:pPr>
            <w:r>
              <w:rPr>
                <w:rFonts w:hint="eastAsia" w:ascii="Times New Roman" w:hAnsi="Times New Roman"/>
                <w:szCs w:val="21"/>
              </w:rPr>
              <w:t xml:space="preserve">4.1</w:t>
            </w:r>
            <w:r>
              <w:rPr>
                <w:rFonts w:ascii="Times New Roman" w:hAnsi="Times New Roman"/>
                <w:szCs w:val="21"/>
              </w:rPr>
              <w:t xml:space="preserve">支持醒目的展示床位的使用情况，例如在科人数、空床、预约、当日新入、转出、出院和死亡等患者人数；</w:t>
            </w:r>
            <w:r/>
          </w:p>
          <w:p>
            <w:pPr>
              <w:rPr>
                <w:rFonts w:ascii="Times New Roman" w:hAnsi="Times New Roman"/>
                <w:szCs w:val="21"/>
              </w:rPr>
            </w:pPr>
            <w:r>
              <w:rPr>
                <w:rFonts w:hint="eastAsia" w:ascii="Times New Roman" w:hAnsi="Times New Roman"/>
                <w:szCs w:val="21"/>
              </w:rPr>
              <w:t xml:space="preserve">4.2</w:t>
            </w:r>
            <w:r>
              <w:rPr>
                <w:rFonts w:ascii="Times New Roman" w:hAnsi="Times New Roman"/>
                <w:szCs w:val="21"/>
              </w:rPr>
              <w:t xml:space="preserve">支持快速为患者进行换床，并且患者绑定的设备会各自解绑并重新绑定；</w:t>
            </w:r>
            <w:r/>
          </w:p>
          <w:p>
            <w:pPr>
              <w:rPr>
                <w:rFonts w:ascii="Times New Roman" w:hAnsi="Times New Roman"/>
                <w:szCs w:val="21"/>
              </w:rPr>
            </w:pPr>
            <w:r>
              <w:rPr>
                <w:rFonts w:hint="eastAsia" w:ascii="Times New Roman" w:hAnsi="Times New Roman"/>
                <w:szCs w:val="21"/>
              </w:rPr>
              <w:t xml:space="preserve">4.3</w:t>
            </w:r>
            <w:r>
              <w:rPr>
                <w:rFonts w:ascii="Times New Roman" w:hAnsi="Times New Roman"/>
                <w:szCs w:val="21"/>
              </w:rPr>
              <w:t xml:space="preserve">支持发布患者重要关注事项，提醒医护人员注意；</w:t>
            </w:r>
            <w:r/>
          </w:p>
          <w:p>
            <w:pPr>
              <w:rPr>
                <w:rFonts w:ascii="Times New Roman" w:hAnsi="Times New Roman"/>
                <w:b/>
                <w:bCs/>
                <w:szCs w:val="21"/>
              </w:rPr>
            </w:pPr>
            <w:r>
              <w:rPr>
                <w:rFonts w:hint="eastAsia" w:ascii="Times New Roman" w:hAnsi="Times New Roman"/>
                <w:b/>
                <w:bCs/>
                <w:szCs w:val="21"/>
              </w:rPr>
              <w:t xml:space="preserve">5、</w:t>
            </w:r>
            <w:r>
              <w:rPr>
                <w:rFonts w:ascii="Times New Roman" w:hAnsi="Times New Roman"/>
                <w:b/>
                <w:bCs/>
                <w:szCs w:val="21"/>
              </w:rPr>
              <w:t xml:space="preserve">▲</w:t>
            </w:r>
            <w:r>
              <w:rPr>
                <w:rFonts w:hint="eastAsia" w:ascii="Times New Roman" w:hAnsi="Times New Roman"/>
                <w:b/>
                <w:bCs/>
                <w:szCs w:val="21"/>
                <w:lang w:val="en-US" w:eastAsia="zh-CN"/>
              </w:rPr>
              <w:t xml:space="preserve">具有</w:t>
            </w:r>
            <w:r>
              <w:rPr>
                <w:rFonts w:ascii="Times New Roman" w:hAnsi="Times New Roman"/>
                <w:b/>
                <w:bCs/>
                <w:szCs w:val="21"/>
              </w:rPr>
              <w:t xml:space="preserve">sepsis bundle和APACHE II等质控评分快速评估的快捷入口；（投标人须提供</w:t>
            </w:r>
            <w:r>
              <w:rPr>
                <w:rFonts w:hint="eastAsia" w:ascii="Times New Roman" w:hAnsi="Times New Roman"/>
                <w:b/>
                <w:bCs/>
                <w:szCs w:val="21"/>
                <w:lang w:val="en-US" w:eastAsia="zh-CN"/>
              </w:rPr>
              <w:t xml:space="preserve">具有CNAS或CMA标识</w:t>
            </w:r>
            <w:r>
              <w:rPr>
                <w:rFonts w:ascii="Times New Roman" w:hAnsi="Times New Roman"/>
                <w:b/>
                <w:bCs/>
                <w:szCs w:val="21"/>
              </w:rPr>
              <w:t xml:space="preserve">的第三方检测机构出具的产品功能检测报告。）</w:t>
            </w:r>
            <w:r/>
          </w:p>
          <w:p>
            <w:pPr>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患者出科：</w:t>
            </w:r>
            <w:r/>
          </w:p>
          <w:p>
            <w:pPr>
              <w:rPr>
                <w:rFonts w:ascii="Times New Roman" w:hAnsi="Times New Roman"/>
                <w:szCs w:val="21"/>
              </w:rPr>
            </w:pPr>
            <w:r>
              <w:rPr>
                <w:rFonts w:hint="eastAsia" w:ascii="Times New Roman" w:hAnsi="Times New Roman"/>
                <w:szCs w:val="21"/>
              </w:rPr>
              <w:t xml:space="preserve">6.1</w:t>
            </w:r>
            <w:r>
              <w:rPr>
                <w:rFonts w:ascii="Times New Roman" w:hAnsi="Times New Roman"/>
                <w:szCs w:val="21"/>
              </w:rPr>
              <w:t xml:space="preserve">支持为患者快速出科，并选择出科原因用于质控相关数据的来源；</w:t>
            </w:r>
            <w:r/>
          </w:p>
          <w:p>
            <w:pPr>
              <w:rPr>
                <w:rFonts w:ascii="Times New Roman" w:hAnsi="Times New Roman"/>
                <w:szCs w:val="21"/>
              </w:rPr>
            </w:pPr>
            <w:r>
              <w:rPr>
                <w:rFonts w:hint="eastAsia" w:ascii="Times New Roman" w:hAnsi="Times New Roman"/>
                <w:szCs w:val="21"/>
              </w:rPr>
              <w:t xml:space="preserve">6.2</w:t>
            </w:r>
            <w:r>
              <w:rPr>
                <w:rFonts w:ascii="Times New Roman" w:hAnsi="Times New Roman"/>
                <w:szCs w:val="21"/>
              </w:rPr>
              <w:t xml:space="preserve">支持对出科患者的所有重症护理记录单生成pdf并且支持对接第三方归档；</w:t>
            </w:r>
            <w:r/>
          </w:p>
          <w:p>
            <w:pPr>
              <w:rPr>
                <w:rFonts w:ascii="Times New Roman" w:hAnsi="Times New Roman"/>
                <w:szCs w:val="21"/>
              </w:rPr>
            </w:pPr>
            <w:r>
              <w:rPr>
                <w:rFonts w:hint="eastAsia" w:ascii="Times New Roman" w:hAnsi="Times New Roman"/>
                <w:szCs w:val="21"/>
              </w:rPr>
              <w:t xml:space="preserve">6.3</w:t>
            </w:r>
            <w:r>
              <w:rPr>
                <w:rFonts w:ascii="Times New Roman" w:hAnsi="Times New Roman"/>
                <w:szCs w:val="21"/>
              </w:rPr>
              <w:t xml:space="preserve">支持以列表的形式查看所有出科的患者信息，包括床位、姓名、入科时间、出科时间、住院号、性别、出科类型、诊断、是否归档等信息；</w:t>
            </w:r>
            <w:r/>
          </w:p>
          <w:p>
            <w:pPr>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设备总览：</w:t>
            </w:r>
            <w:r/>
          </w:p>
          <w:p>
            <w:pPr>
              <w:rPr>
                <w:rFonts w:ascii="Times New Roman" w:hAnsi="Times New Roman"/>
                <w:szCs w:val="21"/>
              </w:rPr>
            </w:pPr>
            <w:r>
              <w:rPr>
                <w:rFonts w:hint="eastAsia" w:ascii="Times New Roman" w:hAnsi="Times New Roman"/>
                <w:szCs w:val="21"/>
              </w:rPr>
              <w:t xml:space="preserve">7.1</w:t>
            </w:r>
            <w:r>
              <w:rPr>
                <w:rFonts w:ascii="Times New Roman" w:hAnsi="Times New Roman"/>
                <w:szCs w:val="21"/>
              </w:rPr>
              <w:t xml:space="preserve">支持以卡片的形式查看全科室设备绑定的情况，可查看已绑设备床位，各类设备当前绑定数量、今日新绑/解绑数量；</w:t>
            </w:r>
            <w:r/>
          </w:p>
          <w:p>
            <w:pPr>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设备绑定：</w:t>
            </w:r>
            <w:r/>
          </w:p>
          <w:p>
            <w:pPr>
              <w:rPr>
                <w:rFonts w:ascii="Times New Roman" w:hAnsi="Times New Roman"/>
                <w:szCs w:val="21"/>
              </w:rPr>
            </w:pPr>
            <w:r>
              <w:rPr>
                <w:rFonts w:hint="eastAsia" w:ascii="Times New Roman" w:hAnsi="Times New Roman"/>
                <w:szCs w:val="21"/>
              </w:rPr>
              <w:t xml:space="preserve">8.1</w:t>
            </w:r>
            <w:r>
              <w:rPr>
                <w:rFonts w:ascii="Times New Roman" w:hAnsi="Times New Roman"/>
                <w:szCs w:val="21"/>
              </w:rPr>
              <w:t xml:space="preserve">支持同时绑定多个设备与解绑；</w:t>
            </w:r>
            <w:r/>
          </w:p>
          <w:p>
            <w:pPr>
              <w:rPr>
                <w:rFonts w:ascii="Times New Roman" w:hAnsi="Times New Roman"/>
                <w:szCs w:val="21"/>
              </w:rPr>
            </w:pPr>
            <w:r>
              <w:rPr>
                <w:rFonts w:hint="eastAsia" w:ascii="Times New Roman" w:hAnsi="Times New Roman"/>
                <w:szCs w:val="21"/>
              </w:rPr>
              <w:t xml:space="preserve">8.2</w:t>
            </w:r>
            <w:r>
              <w:rPr>
                <w:rFonts w:ascii="Times New Roman" w:hAnsi="Times New Roman"/>
                <w:szCs w:val="21"/>
              </w:rPr>
              <w:t xml:space="preserve">支持自行选择机型、型号、绑定时间；</w:t>
            </w:r>
            <w:r/>
          </w:p>
          <w:p>
            <w:pPr>
              <w:rPr>
                <w:rFonts w:ascii="Times New Roman" w:hAnsi="Times New Roman"/>
                <w:szCs w:val="21"/>
              </w:rPr>
            </w:pPr>
            <w:r>
              <w:rPr>
                <w:rFonts w:hint="eastAsia" w:ascii="Times New Roman" w:hAnsi="Times New Roman"/>
                <w:szCs w:val="21"/>
              </w:rPr>
              <w:t xml:space="preserve">8.3</w:t>
            </w:r>
            <w:r>
              <w:rPr>
                <w:rFonts w:ascii="Times New Roman" w:hAnsi="Times New Roman"/>
                <w:szCs w:val="21"/>
              </w:rPr>
              <w:t xml:space="preserve">支持自行设置开始频率、开始持续时间、频率；</w:t>
            </w:r>
            <w:r/>
          </w:p>
          <w:p>
            <w:pPr>
              <w:rPr>
                <w:rFonts w:ascii="Times New Roman" w:hAnsi="Times New Roman"/>
                <w:szCs w:val="21"/>
              </w:rPr>
            </w:pPr>
            <w:r>
              <w:rPr>
                <w:rFonts w:hint="eastAsia" w:ascii="Times New Roman" w:hAnsi="Times New Roman"/>
                <w:szCs w:val="21"/>
              </w:rPr>
              <w:t xml:space="preserve">8.4</w:t>
            </w:r>
            <w:r>
              <w:rPr>
                <w:rFonts w:ascii="Times New Roman" w:hAnsi="Times New Roman"/>
                <w:szCs w:val="21"/>
              </w:rPr>
              <w:t xml:space="preserve">支持快速查看患者绑定设备的详情，包含上机时长、绑定时间、频率、报警累计次数、报警值的区间等信息；</w:t>
            </w:r>
            <w:r/>
          </w:p>
          <w:p>
            <w:pPr>
              <w:rPr>
                <w:rFonts w:ascii="Times New Roman" w:hAnsi="Times New Roman"/>
                <w:szCs w:val="21"/>
              </w:rPr>
            </w:pPr>
            <w:r>
              <w:rPr>
                <w:rFonts w:hint="eastAsia" w:ascii="Times New Roman" w:hAnsi="Times New Roman"/>
                <w:szCs w:val="21"/>
              </w:rPr>
              <w:t xml:space="preserve">8.5</w:t>
            </w:r>
            <w:r>
              <w:rPr>
                <w:rFonts w:ascii="Times New Roman" w:hAnsi="Times New Roman"/>
                <w:szCs w:val="21"/>
              </w:rPr>
              <w:t xml:space="preserve">支持为不同患者设置绑定设备的参数正常值区间；</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医嘱管理</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医嘱同步：</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支持与院内信息系统对接后自动获取患者医嘱（包括新开医嘱、新停止医嘱、作废医嘱等），并且会提示有新开医嘱；</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支持特殊医嘱信息获取，包括特殊医嘱类别、特殊医嘱名称、默认执行情况，对即将执行的特殊医嘱进行通知提醒，并提供医嘱执行列表快速定位；</w:t>
            </w:r>
            <w:r/>
          </w:p>
          <w:p>
            <w:pPr>
              <w:rPr>
                <w:rFonts w:ascii="Times New Roman" w:hAnsi="Times New Roman"/>
                <w:b/>
                <w:bCs/>
                <w:szCs w:val="21"/>
              </w:rPr>
            </w:pPr>
            <w:r>
              <w:rPr>
                <w:rFonts w:hint="eastAsia" w:ascii="Times New Roman" w:hAnsi="Times New Roman"/>
                <w:b/>
                <w:bCs/>
                <w:szCs w:val="21"/>
              </w:rPr>
              <w:t xml:space="preserve">1.3</w:t>
            </w:r>
            <w:r>
              <w:rPr>
                <w:rFonts w:ascii="Times New Roman" w:hAnsi="Times New Roman"/>
                <w:b/>
                <w:bCs/>
                <w:szCs w:val="21"/>
              </w:rPr>
              <w:t xml:space="preserve">▲支持长嘱停嘱后，自定义设置当前班次和当天所有班次继续同步该医嘱；（投标人须提供</w:t>
            </w:r>
            <w:r>
              <w:rPr>
                <w:rFonts w:hint="eastAsia" w:ascii="Times New Roman" w:hAnsi="Times New Roman"/>
                <w:b/>
                <w:bCs/>
                <w:szCs w:val="21"/>
                <w:lang w:val="en-US" w:eastAsia="zh-CN"/>
              </w:rPr>
              <w:t xml:space="preserve">具有CNAS或CMA标识</w:t>
            </w:r>
            <w:r>
              <w:rPr>
                <w:rFonts w:ascii="Times New Roman" w:hAnsi="Times New Roman"/>
                <w:b/>
                <w:bCs/>
                <w:szCs w:val="21"/>
              </w:rPr>
              <w:t xml:space="preserve">的第三方检测机构出具的产品功能检测报告。）</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支持根据医嘱途径、医嘱频次以及医嘱类型自动拆分为每个班次需要执行的医嘱，并且进行分类展示（泵入医嘱、静脉输液、口服、管饲、推注、皮试、治疗等类别），便于随时查询需要执行的医嘱；</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医嘱录入：</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支持抢救录入和非抢救录入；</w:t>
            </w:r>
            <w:r/>
          </w:p>
          <w:p>
            <w:pPr>
              <w:rPr>
                <w:rFonts w:ascii="Times New Roman" w:hAnsi="Times New Roman"/>
                <w:szCs w:val="21"/>
              </w:rPr>
            </w:pPr>
            <w:r>
              <w:rPr>
                <w:rFonts w:hint="eastAsia" w:ascii="Times New Roman" w:hAnsi="Times New Roman"/>
                <w:szCs w:val="21"/>
              </w:rPr>
              <w:t xml:space="preserve">2.2</w:t>
            </w:r>
            <w:r>
              <w:rPr>
                <w:rFonts w:ascii="Times New Roman" w:hAnsi="Times New Roman"/>
                <w:szCs w:val="21"/>
              </w:rPr>
              <w:t xml:space="preserve">支持智能识别可匹配的录入医嘱和新开医嘱，形成一对一预选组合，提供关联确认展示界面，将录入医嘱与新开医嘱进行关联； </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医嘱总览：</w:t>
            </w:r>
            <w:r/>
          </w:p>
          <w:p>
            <w:pPr>
              <w:rPr>
                <w:rFonts w:ascii="Times New Roman" w:hAnsi="Times New Roman"/>
                <w:szCs w:val="21"/>
              </w:rPr>
            </w:pPr>
            <w:r>
              <w:rPr>
                <w:rFonts w:hint="eastAsia" w:ascii="Times New Roman" w:hAnsi="Times New Roman"/>
                <w:szCs w:val="21"/>
              </w:rPr>
              <w:t xml:space="preserve">3.1</w:t>
            </w:r>
            <w:r>
              <w:rPr>
                <w:rFonts w:ascii="Times New Roman" w:hAnsi="Times New Roman"/>
                <w:szCs w:val="21"/>
              </w:rPr>
              <w:t xml:space="preserve">支持以时间轴的形式查看每个班次医嘱的执行情况，包含开始、流速变更、暂停、结束的执行时间点，可以查看医嘱最新执行状态，并用醒目标识标出，时间轴上会显示每小时医嘱的执行量；</w:t>
            </w:r>
            <w:r/>
          </w:p>
          <w:p>
            <w:pPr>
              <w:rPr>
                <w:rFonts w:ascii="Times New Roman" w:hAnsi="Times New Roman"/>
                <w:szCs w:val="21"/>
              </w:rPr>
            </w:pPr>
            <w:r>
              <w:rPr>
                <w:rFonts w:hint="eastAsia" w:ascii="Times New Roman" w:hAnsi="Times New Roman"/>
                <w:szCs w:val="21"/>
              </w:rPr>
              <w:t xml:space="preserve">3.2</w:t>
            </w:r>
            <w:r>
              <w:rPr>
                <w:rFonts w:ascii="Times New Roman" w:hAnsi="Times New Roman"/>
                <w:szCs w:val="21"/>
              </w:rPr>
              <w:t xml:space="preserve">支持多种查询条件检索医嘱信息，如日期，班次，完成状态，医嘱类型，医嘱时效性，医嘱途径，医嘱名称等；</w:t>
            </w:r>
            <w:r/>
          </w:p>
          <w:p>
            <w:pPr>
              <w:rPr>
                <w:rFonts w:ascii="Times New Roman" w:hAnsi="Times New Roman"/>
                <w:szCs w:val="21"/>
              </w:rPr>
            </w:pPr>
            <w:r>
              <w:rPr>
                <w:rFonts w:hint="eastAsia" w:ascii="Times New Roman" w:hAnsi="Times New Roman"/>
                <w:szCs w:val="21"/>
              </w:rPr>
              <w:t xml:space="preserve">3.3</w:t>
            </w:r>
            <w:r>
              <w:rPr>
                <w:rFonts w:ascii="Times New Roman" w:hAnsi="Times New Roman"/>
                <w:szCs w:val="21"/>
              </w:rPr>
              <w:t xml:space="preserve">支持以醒目的标识区分特殊用药、药品备注、晶胶属性、停嘱医嘱、作废医嘱、待执行的PDA医嘱；可以通过药品备注查看摆药描述；</w:t>
            </w:r>
            <w:r/>
          </w:p>
          <w:p>
            <w:pPr>
              <w:rPr>
                <w:rFonts w:ascii="Times New Roman" w:hAnsi="Times New Roman"/>
                <w:szCs w:val="21"/>
              </w:rPr>
            </w:pPr>
            <w:r>
              <w:rPr>
                <w:rFonts w:hint="eastAsia" w:ascii="Times New Roman" w:hAnsi="Times New Roman"/>
                <w:szCs w:val="21"/>
              </w:rPr>
              <w:t xml:space="preserve">3.4</w:t>
            </w:r>
            <w:r>
              <w:rPr>
                <w:rFonts w:ascii="Times New Roman" w:hAnsi="Times New Roman"/>
                <w:szCs w:val="21"/>
              </w:rPr>
              <w:t xml:space="preserve">支持与院内信息系统对接后自动获取PDA执行的医嘱，并且通过醒目标识区分PDA已执行但是未在医嘱列表执行的医嘱；</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医嘱执行：</w:t>
            </w:r>
            <w:r/>
          </w:p>
          <w:p>
            <w:pPr>
              <w:rPr>
                <w:rFonts w:ascii="Times New Roman" w:hAnsi="Times New Roman"/>
                <w:szCs w:val="21"/>
              </w:rPr>
            </w:pPr>
            <w:r>
              <w:rPr>
                <w:rFonts w:hint="eastAsia" w:ascii="Times New Roman" w:hAnsi="Times New Roman"/>
                <w:szCs w:val="21"/>
              </w:rPr>
              <w:t xml:space="preserve">4.1</w:t>
            </w:r>
            <w:r>
              <w:rPr>
                <w:rFonts w:ascii="Times New Roman" w:hAnsi="Times New Roman"/>
                <w:szCs w:val="21"/>
              </w:rPr>
              <w:t xml:space="preserve">支持快速记录医嘱的执行信息，包括本次执行量、执行方式、执行时间、余量是否作废等，并且显示每一次的医嘱执行记录；</w:t>
            </w:r>
            <w:r/>
          </w:p>
          <w:p>
            <w:pPr>
              <w:rPr>
                <w:rFonts w:ascii="Times New Roman" w:hAnsi="Times New Roman"/>
                <w:szCs w:val="21"/>
              </w:rPr>
            </w:pPr>
            <w:r>
              <w:rPr>
                <w:rFonts w:hint="eastAsia" w:ascii="Times New Roman" w:hAnsi="Times New Roman"/>
                <w:szCs w:val="21"/>
              </w:rPr>
              <w:t xml:space="preserve">4.2</w:t>
            </w:r>
            <w:r>
              <w:rPr>
                <w:rFonts w:ascii="Times New Roman" w:hAnsi="Times New Roman"/>
                <w:szCs w:val="21"/>
              </w:rPr>
              <w:t xml:space="preserve">支持在填写医嘱执行信息时，实时自动计算医嘱余量以及预计完成时间；；</w:t>
            </w:r>
            <w:r/>
          </w:p>
          <w:p>
            <w:pPr>
              <w:rPr>
                <w:rFonts w:ascii="Times New Roman" w:hAnsi="Times New Roman"/>
                <w:szCs w:val="21"/>
              </w:rPr>
            </w:pPr>
            <w:r>
              <w:rPr>
                <w:rFonts w:hint="eastAsia" w:ascii="Times New Roman" w:hAnsi="Times New Roman"/>
                <w:szCs w:val="21"/>
              </w:rPr>
              <w:t xml:space="preserve">4.3</w:t>
            </w:r>
            <w:r>
              <w:rPr>
                <w:rFonts w:ascii="Times New Roman" w:hAnsi="Times New Roman"/>
                <w:szCs w:val="21"/>
              </w:rPr>
              <w:t xml:space="preserve">支持医嘱执行的每一个过程，都自动写入护理记录单，并且记录的模板可自定义，可以减少护士做完一项医嘱后还需重新书写一遍护理记录的工作量；</w:t>
            </w:r>
            <w:r/>
          </w:p>
          <w:p>
            <w:pPr>
              <w:rPr>
                <w:rFonts w:ascii="Times New Roman" w:hAnsi="Times New Roman"/>
                <w:b/>
                <w:bCs/>
                <w:szCs w:val="21"/>
              </w:rPr>
            </w:pPr>
            <w:r>
              <w:rPr>
                <w:rFonts w:hint="eastAsia" w:ascii="Times New Roman" w:hAnsi="Times New Roman"/>
                <w:b/>
                <w:bCs/>
                <w:szCs w:val="21"/>
              </w:rPr>
              <w:t xml:space="preserve">4.4</w:t>
            </w:r>
            <w:r>
              <w:rPr>
                <w:rFonts w:ascii="Times New Roman" w:hAnsi="Times New Roman"/>
                <w:b/>
                <w:bCs/>
                <w:szCs w:val="21"/>
              </w:rPr>
              <w:t xml:space="preserve">▲支持根据不同的医嘱途径进行给药剂量不同单位之间的自动换算，且换算规则可维护；（投标人须提供</w:t>
            </w:r>
            <w:r>
              <w:rPr>
                <w:rFonts w:hint="eastAsia" w:ascii="Times New Roman" w:hAnsi="Times New Roman"/>
                <w:b/>
                <w:bCs/>
                <w:szCs w:val="21"/>
                <w:lang w:val="en-US" w:eastAsia="zh-CN"/>
              </w:rPr>
              <w:t xml:space="preserve">具有CNAS或CMA标识</w:t>
            </w:r>
            <w:r>
              <w:rPr>
                <w:rFonts w:ascii="Times New Roman" w:hAnsi="Times New Roman"/>
                <w:b/>
                <w:bCs/>
                <w:szCs w:val="21"/>
              </w:rPr>
              <w:t xml:space="preserve">的第三方检测机构出具的产品功能检测报告。）</w:t>
            </w:r>
            <w:r/>
          </w:p>
          <w:p>
            <w:pPr>
              <w:rPr>
                <w:rFonts w:ascii="Times New Roman" w:hAnsi="Times New Roman"/>
                <w:szCs w:val="21"/>
              </w:rPr>
            </w:pPr>
            <w:r>
              <w:rPr>
                <w:rFonts w:hint="eastAsia" w:ascii="Times New Roman" w:hAnsi="Times New Roman"/>
                <w:szCs w:val="21"/>
              </w:rPr>
              <w:t xml:space="preserve">4.5</w:t>
            </w:r>
            <w:r>
              <w:rPr>
                <w:rFonts w:ascii="Times New Roman" w:hAnsi="Times New Roman"/>
                <w:szCs w:val="21"/>
              </w:rPr>
              <w:t xml:space="preserve">支持医嘱每小时入量自动计算，生成精确的出入量记录自动写入护理记录单，并能够在系统中查询任意时间段的液体平衡情况，有助于护士了解出入量的信息来掌握病情；</w:t>
            </w:r>
            <w:r/>
          </w:p>
          <w:p>
            <w:pPr>
              <w:rPr>
                <w:rFonts w:ascii="Times New Roman" w:hAnsi="Times New Roman"/>
                <w:szCs w:val="21"/>
              </w:rPr>
            </w:pPr>
            <w:r>
              <w:rPr>
                <w:rFonts w:hint="eastAsia" w:ascii="Times New Roman" w:hAnsi="Times New Roman"/>
                <w:szCs w:val="21"/>
              </w:rPr>
              <w:t xml:space="preserve">4.6</w:t>
            </w:r>
            <w:r>
              <w:rPr>
                <w:rFonts w:ascii="Times New Roman" w:hAnsi="Times New Roman"/>
                <w:szCs w:val="21"/>
              </w:rPr>
              <w:t xml:space="preserve">支持同一时间，相同的途径的医嘱进行批量执行；</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护理管理</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护理监测：</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支持以时间轴方式直观展示各班次护理项目；</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生命体征信息记录，可以自动采集监护仪上的生命体征数据或者进行手动记录，并针对记录的数据在超正常值范围予以高亮显示，包含：心率、无创血压、有创血压、呼吸频率、脉搏血氧饱和度、脉搏等参数。支持以折线图的形式展示每个班次患者的体征变化趋势；</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出入量信息记录，可以自动集成医嘱入量、管路引流量、手动记录的口服、鼻饲等出入量数据，自动汇总形成每小时的出量小计和入量小计，可以根据每小时的出入量自动计算出每小时平衡并且自动写入护理记录单。支持以折线图的形式展示每个班次患者的出入量、平衡量的变化趋势；</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支持呼吸系统信息记录，可以自动采集呼吸机上的呼吸治疗相关的数据或者进行手动记录，包含：吸氧方式、通气模式、氧浓度、氧流量等与呼吸治疗相关的记录；</w:t>
            </w:r>
            <w:r/>
          </w:p>
          <w:p>
            <w:pPr>
              <w:rPr>
                <w:rFonts w:ascii="Times New Roman" w:hAnsi="Times New Roman"/>
                <w:szCs w:val="21"/>
              </w:rPr>
            </w:pPr>
            <w:r>
              <w:rPr>
                <w:rFonts w:hint="eastAsia" w:ascii="Times New Roman" w:hAnsi="Times New Roman"/>
                <w:szCs w:val="21"/>
              </w:rPr>
              <w:t xml:space="preserve">1.5</w:t>
            </w:r>
            <w:r>
              <w:rPr>
                <w:rFonts w:ascii="Times New Roman" w:hAnsi="Times New Roman"/>
                <w:szCs w:val="21"/>
              </w:rPr>
              <w:t xml:space="preserve">支持循环系统信息记录，可以通过下拉单选项或多选项或自由输入的形式对肢体循环（不同肢体）、各动脉搏动及术后护理内容相关评估项目进行记录；</w:t>
            </w:r>
            <w:r/>
          </w:p>
          <w:p>
            <w:pPr>
              <w:rPr>
                <w:rFonts w:ascii="Times New Roman" w:hAnsi="Times New Roman"/>
                <w:szCs w:val="21"/>
              </w:rPr>
            </w:pPr>
            <w:r>
              <w:rPr>
                <w:rFonts w:hint="eastAsia" w:ascii="Times New Roman" w:hAnsi="Times New Roman"/>
                <w:szCs w:val="21"/>
              </w:rPr>
              <w:t xml:space="preserve">1.6</w:t>
            </w:r>
            <w:r>
              <w:rPr>
                <w:rFonts w:ascii="Times New Roman" w:hAnsi="Times New Roman"/>
                <w:szCs w:val="21"/>
              </w:rPr>
              <w:t xml:space="preserve">支持神经系统信息记录，可以通过下拉单选项或多选项或自由输入的形式对神经系统相关记录项，包括：意识状态、瞳孔大小、对光反射等进行记录。</w:t>
            </w:r>
            <w:r/>
          </w:p>
          <w:p>
            <w:pPr>
              <w:rPr>
                <w:rFonts w:ascii="Times New Roman" w:hAnsi="Times New Roman"/>
                <w:szCs w:val="21"/>
              </w:rPr>
            </w:pPr>
            <w:r>
              <w:rPr>
                <w:rFonts w:hint="eastAsia" w:ascii="Times New Roman" w:hAnsi="Times New Roman"/>
                <w:szCs w:val="21"/>
              </w:rPr>
              <w:t xml:space="preserve">1.7</w:t>
            </w:r>
            <w:r>
              <w:rPr>
                <w:rFonts w:ascii="Times New Roman" w:hAnsi="Times New Roman"/>
                <w:szCs w:val="21"/>
              </w:rPr>
              <w:t xml:space="preserve">支持基于特征参数算法，对监测数据的自动分组，分别计算各组的特征参数，从而自动匹配相应的监测结果；支持通过参数分析识别算法来标记异常，并发出消息提示；</w:t>
            </w:r>
            <w:r/>
          </w:p>
          <w:p>
            <w:pPr>
              <w:rPr>
                <w:rFonts w:ascii="Times New Roman" w:hAnsi="Times New Roman"/>
                <w:b/>
                <w:bCs/>
                <w:szCs w:val="21"/>
              </w:rPr>
            </w:pPr>
            <w:r>
              <w:rPr>
                <w:rFonts w:hint="eastAsia" w:ascii="Times New Roman" w:hAnsi="Times New Roman"/>
                <w:b/>
                <w:bCs/>
                <w:szCs w:val="21"/>
              </w:rPr>
              <w:t xml:space="preserve">1.8</w:t>
            </w:r>
            <w:r>
              <w:rPr>
                <w:rFonts w:ascii="Times New Roman" w:hAnsi="Times New Roman"/>
                <w:b/>
                <w:bCs/>
                <w:szCs w:val="21"/>
              </w:rPr>
              <w:t xml:space="preserve">▲支持体征数据根据自定义频率从监护设备对监护数据进行采集回顾；（投标人须提供</w:t>
            </w:r>
            <w:r>
              <w:rPr>
                <w:rFonts w:hint="eastAsia" w:ascii="Times New Roman" w:hAnsi="Times New Roman"/>
                <w:b/>
                <w:bCs/>
                <w:szCs w:val="21"/>
                <w:lang w:val="en-US" w:eastAsia="zh-CN"/>
              </w:rPr>
              <w:t xml:space="preserve">具有CNAS或CMA标识</w:t>
            </w:r>
            <w:r>
              <w:rPr>
                <w:rFonts w:ascii="Times New Roman" w:hAnsi="Times New Roman"/>
                <w:b/>
                <w:bCs/>
                <w:szCs w:val="21"/>
              </w:rPr>
              <w:t xml:space="preserve">的第三方检测机构出具的产品功能检测报告。）</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管路监测：</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支持自定义维护部位和导管，在知识库的支撑下，按照解剖学的要求，将部位在3D人体上展示；</w:t>
            </w:r>
            <w:r/>
          </w:p>
          <w:p>
            <w:pPr>
              <w:rPr>
                <w:rFonts w:ascii="Times New Roman" w:hAnsi="Times New Roman"/>
                <w:szCs w:val="21"/>
              </w:rPr>
            </w:pPr>
            <w:r>
              <w:rPr>
                <w:rFonts w:hint="eastAsia" w:ascii="Times New Roman" w:hAnsi="Times New Roman"/>
                <w:szCs w:val="21"/>
              </w:rPr>
              <w:t xml:space="preserve">2.2</w:t>
            </w:r>
            <w:r>
              <w:rPr>
                <w:rFonts w:ascii="Times New Roman" w:hAnsi="Times New Roman"/>
                <w:szCs w:val="21"/>
              </w:rPr>
              <w:t xml:space="preserve">支持至少两种患者导管一览方式，如人体图方式、列表方式等，同时在知识体系支撑下，对高，中，低 危险度导管标注标签展示；</w:t>
            </w:r>
            <w:r/>
          </w:p>
          <w:p>
            <w:pPr>
              <w:rPr>
                <w:rFonts w:ascii="Times New Roman" w:hAnsi="Times New Roman"/>
                <w:szCs w:val="21"/>
              </w:rPr>
            </w:pPr>
            <w:r>
              <w:rPr>
                <w:rFonts w:hint="eastAsia" w:ascii="Times New Roman" w:hAnsi="Times New Roman"/>
                <w:szCs w:val="21"/>
              </w:rPr>
              <w:t xml:space="preserve">2.3</w:t>
            </w:r>
            <w:r>
              <w:rPr>
                <w:rFonts w:ascii="Times New Roman" w:hAnsi="Times New Roman"/>
                <w:szCs w:val="21"/>
              </w:rPr>
              <w:t xml:space="preserve">支持对管路的名称、置管部位、留置天数、留置深度、刻度、有效期、通畅度、导管护理操作等信息进行详细记录；</w:t>
            </w:r>
            <w:r/>
          </w:p>
          <w:p>
            <w:pPr>
              <w:rPr>
                <w:rFonts w:ascii="Times New Roman" w:hAnsi="Times New Roman"/>
                <w:szCs w:val="21"/>
              </w:rPr>
            </w:pPr>
            <w:r>
              <w:rPr>
                <w:rFonts w:hint="eastAsia" w:ascii="Times New Roman" w:hAnsi="Times New Roman"/>
                <w:szCs w:val="21"/>
              </w:rPr>
              <w:t xml:space="preserve">2.4</w:t>
            </w:r>
            <w:r>
              <w:rPr>
                <w:rFonts w:ascii="Times New Roman" w:hAnsi="Times New Roman"/>
                <w:szCs w:val="21"/>
              </w:rPr>
              <w:t xml:space="preserve">支持自定义导管护理时监测内容写入护理措施的模板，并根据监测项是否填写自动记入护理措施；</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皮肤监测：</w:t>
            </w:r>
            <w:r/>
          </w:p>
          <w:p>
            <w:pPr>
              <w:rPr>
                <w:rFonts w:ascii="Times New Roman" w:hAnsi="Times New Roman"/>
                <w:szCs w:val="21"/>
              </w:rPr>
            </w:pPr>
            <w:r/>
            <w:bookmarkStart w:id="63" w:name="OLE_LINK14"/>
            <w:r>
              <w:rPr>
                <w:rFonts w:hint="eastAsia" w:ascii="Times New Roman" w:hAnsi="Times New Roman"/>
                <w:szCs w:val="21"/>
              </w:rPr>
              <w:t xml:space="preserve">3.1</w:t>
            </w:r>
            <w:r>
              <w:rPr>
                <w:rFonts w:ascii="Times New Roman" w:hAnsi="Times New Roman"/>
                <w:szCs w:val="21"/>
              </w:rPr>
              <w:t xml:space="preserve">支持至少两种患者皮肤情况一览方式，如3D人体图方式、列表方式等，同时在知识库的支撑下，按照解剖学的要求，将皮肤内容标记在人体模型上，可进行皮肤护理操作记录</w:t>
            </w:r>
            <w:bookmarkEnd w:id="63"/>
            <w:r>
              <w:rPr>
                <w:rFonts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3.2</w:t>
            </w:r>
            <w:r>
              <w:rPr>
                <w:rFonts w:ascii="Times New Roman" w:hAnsi="Times New Roman"/>
                <w:szCs w:val="21"/>
              </w:rPr>
              <w:t xml:space="preserve">支持选择不同的皮肤类型，例如压力性损伤、失禁性皮炎等，并且支持记录压疮部位、压疮长，宽，深，压疮记录支持上传图片进行留存。</w:t>
            </w:r>
            <w:r/>
          </w:p>
          <w:p>
            <w:pPr>
              <w:rPr>
                <w:rFonts w:ascii="Times New Roman" w:hAnsi="Times New Roman"/>
                <w:szCs w:val="21"/>
              </w:rPr>
            </w:pPr>
            <w:r>
              <w:rPr>
                <w:rFonts w:hint="eastAsia" w:ascii="Times New Roman" w:hAnsi="Times New Roman"/>
                <w:szCs w:val="21"/>
              </w:rPr>
              <w:t xml:space="preserve">3.3</w:t>
            </w:r>
            <w:r>
              <w:rPr>
                <w:rFonts w:ascii="Times New Roman" w:hAnsi="Times New Roman"/>
                <w:szCs w:val="21"/>
              </w:rPr>
              <w:t xml:space="preserve">支持自定义皮肤护理时监测内容写入护理措施的模板，并根据监测项是否填写自动记入护理措施；</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口腔监测：</w:t>
            </w:r>
            <w:r/>
          </w:p>
          <w:p>
            <w:pPr>
              <w:rPr>
                <w:rFonts w:ascii="Times New Roman" w:hAnsi="Times New Roman"/>
                <w:szCs w:val="21"/>
              </w:rPr>
            </w:pPr>
            <w:r>
              <w:rPr>
                <w:rFonts w:hint="eastAsia" w:ascii="Times New Roman" w:hAnsi="Times New Roman"/>
                <w:szCs w:val="21"/>
              </w:rPr>
              <w:t xml:space="preserve">4.1</w:t>
            </w:r>
            <w:r>
              <w:rPr>
                <w:rFonts w:ascii="Times New Roman" w:hAnsi="Times New Roman"/>
                <w:szCs w:val="21"/>
              </w:rPr>
              <w:t xml:space="preserve">在知识库的支撑下，按照解剖学的要求，将口腔护理内容标记在口腔模型上，可进行口腔护理操作记录；</w:t>
            </w:r>
            <w:r/>
          </w:p>
          <w:p>
            <w:pPr>
              <w:rPr>
                <w:rFonts w:ascii="Times New Roman" w:hAnsi="Times New Roman"/>
                <w:szCs w:val="21"/>
              </w:rPr>
            </w:pPr>
            <w:r>
              <w:rPr>
                <w:rFonts w:hint="eastAsia" w:ascii="Times New Roman" w:hAnsi="Times New Roman"/>
                <w:szCs w:val="21"/>
              </w:rPr>
              <w:t xml:space="preserve">4.2</w:t>
            </w:r>
            <w:r>
              <w:rPr>
                <w:rFonts w:ascii="Times New Roman" w:hAnsi="Times New Roman"/>
                <w:szCs w:val="21"/>
              </w:rPr>
              <w:t xml:space="preserve">支持自定义每颗牙齿的名称；并且支持规范的口腔护理部位、描述、结论的记录；</w:t>
            </w:r>
            <w:r/>
          </w:p>
          <w:p>
            <w:pPr>
              <w:rPr>
                <w:rFonts w:ascii="Times New Roman" w:hAnsi="Times New Roman"/>
                <w:szCs w:val="21"/>
              </w:rPr>
            </w:pPr>
            <w:r>
              <w:rPr>
                <w:rFonts w:hint="eastAsia" w:ascii="Times New Roman" w:hAnsi="Times New Roman"/>
                <w:szCs w:val="21"/>
              </w:rPr>
              <w:t xml:space="preserve">4.3</w:t>
            </w:r>
            <w:r>
              <w:rPr>
                <w:rFonts w:ascii="Times New Roman" w:hAnsi="Times New Roman"/>
                <w:szCs w:val="21"/>
              </w:rPr>
              <w:t xml:space="preserve">支持自定义口腔护理时监测内容写入护理措施的模板，并根据监测项是否填写自动记入护理措施；</w:t>
            </w:r>
            <w:r/>
          </w:p>
          <w:p>
            <w:pPr>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基础护理：</w:t>
            </w:r>
            <w:r/>
          </w:p>
          <w:p>
            <w:pPr>
              <w:rPr>
                <w:rFonts w:ascii="Times New Roman" w:hAnsi="Times New Roman"/>
                <w:szCs w:val="21"/>
              </w:rPr>
            </w:pPr>
            <w:r>
              <w:rPr>
                <w:rFonts w:hint="eastAsia" w:ascii="Times New Roman" w:hAnsi="Times New Roman"/>
                <w:szCs w:val="21"/>
              </w:rPr>
              <w:t xml:space="preserve">5.1</w:t>
            </w:r>
            <w:r>
              <w:rPr>
                <w:rFonts w:ascii="Times New Roman" w:hAnsi="Times New Roman"/>
                <w:szCs w:val="21"/>
              </w:rPr>
              <w:t xml:space="preserve">支持基础护理配置及快捷记录功能，操作包括但不限于擦浴/洗头、翻身/拍背、运动、保护约束、末梢循环等；</w:t>
            </w:r>
            <w:r/>
          </w:p>
          <w:p>
            <w:pPr>
              <w:rPr>
                <w:rFonts w:ascii="Times New Roman" w:hAnsi="Times New Roman"/>
                <w:szCs w:val="21"/>
              </w:rPr>
            </w:pPr>
            <w:r>
              <w:rPr>
                <w:rFonts w:hint="eastAsia" w:ascii="Times New Roman" w:hAnsi="Times New Roman"/>
                <w:szCs w:val="21"/>
              </w:rPr>
              <w:t xml:space="preserve">5.2</w:t>
            </w:r>
            <w:r>
              <w:rPr>
                <w:rFonts w:ascii="Times New Roman" w:hAnsi="Times New Roman"/>
                <w:szCs w:val="21"/>
              </w:rPr>
              <w:t xml:space="preserve">支持所有基础护理记录，按时间顺序全部采集到历史基础护理中；</w:t>
            </w:r>
            <w:r/>
          </w:p>
          <w:p>
            <w:pPr>
              <w:rPr>
                <w:rFonts w:ascii="Times New Roman" w:hAnsi="Times New Roman"/>
                <w:szCs w:val="21"/>
              </w:rPr>
            </w:pPr>
            <w:r>
              <w:rPr>
                <w:rFonts w:hint="eastAsia" w:ascii="Times New Roman" w:hAnsi="Times New Roman"/>
                <w:szCs w:val="21"/>
              </w:rPr>
              <w:t xml:space="preserve">5.3</w:t>
            </w:r>
            <w:r>
              <w:rPr>
                <w:rFonts w:ascii="Times New Roman" w:hAnsi="Times New Roman"/>
                <w:szCs w:val="21"/>
              </w:rPr>
              <w:t xml:space="preserve">支持用户自定义基础护理；</w:t>
            </w:r>
            <w:r/>
          </w:p>
          <w:p>
            <w:pPr>
              <w:rPr>
                <w:rFonts w:ascii="Times New Roman" w:hAnsi="Times New Roman"/>
                <w:szCs w:val="21"/>
              </w:rPr>
            </w:pPr>
            <w:r>
              <w:rPr>
                <w:rFonts w:hint="eastAsia" w:ascii="Times New Roman" w:hAnsi="Times New Roman"/>
                <w:szCs w:val="21"/>
              </w:rPr>
              <w:t xml:space="preserve">5.4</w:t>
            </w:r>
            <w:r>
              <w:rPr>
                <w:rFonts w:ascii="Times New Roman" w:hAnsi="Times New Roman"/>
                <w:szCs w:val="21"/>
              </w:rPr>
              <w:t xml:space="preserve">支持历史护理记录筛选、查阅；</w:t>
            </w:r>
            <w:r/>
          </w:p>
          <w:p>
            <w:pPr>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常规护理：</w:t>
            </w:r>
            <w:r/>
          </w:p>
          <w:p>
            <w:pPr>
              <w:rPr>
                <w:rFonts w:ascii="Times New Roman" w:hAnsi="Times New Roman"/>
                <w:szCs w:val="21"/>
              </w:rPr>
            </w:pPr>
            <w:r>
              <w:rPr>
                <w:rFonts w:hint="eastAsia" w:ascii="Times New Roman" w:hAnsi="Times New Roman"/>
                <w:szCs w:val="21"/>
              </w:rPr>
              <w:t xml:space="preserve">6.1</w:t>
            </w:r>
            <w:r>
              <w:rPr>
                <w:rFonts w:ascii="Times New Roman" w:hAnsi="Times New Roman"/>
                <w:szCs w:val="21"/>
              </w:rPr>
              <w:t xml:space="preserve">支持自定义日常的基础护理操作的快捷记录模板，操作包括但不限于擦浴/洗头、翻身/拍背、运动、保护约束、末梢循环等，可快速记录，减轻护士文字书写时间；</w:t>
            </w:r>
            <w:r/>
          </w:p>
          <w:p>
            <w:pPr>
              <w:rPr>
                <w:rFonts w:ascii="Times New Roman" w:hAnsi="Times New Roman"/>
                <w:szCs w:val="21"/>
              </w:rPr>
            </w:pPr>
            <w:r>
              <w:rPr>
                <w:rFonts w:hint="eastAsia" w:ascii="Times New Roman" w:hAnsi="Times New Roman"/>
                <w:szCs w:val="21"/>
              </w:rPr>
              <w:t xml:space="preserve">6.2</w:t>
            </w:r>
            <w:r>
              <w:rPr>
                <w:rFonts w:ascii="Times New Roman" w:hAnsi="Times New Roman"/>
                <w:szCs w:val="21"/>
              </w:rPr>
              <w:t xml:space="preserve">支持自定义持续性护理操作的快捷记录模板，操作包括但不限于输血过程中持续性的护理记录，CRRT上机、更换滤器、撤机等持续性护理操作记录，可快速记录，减轻护士文字书写时间；</w:t>
            </w:r>
            <w:r/>
          </w:p>
          <w:p>
            <w:pPr>
              <w:rPr>
                <w:rFonts w:ascii="Times New Roman" w:hAnsi="Times New Roman"/>
                <w:szCs w:val="21"/>
              </w:rPr>
            </w:pPr>
            <w:r>
              <w:rPr>
                <w:rFonts w:hint="eastAsia" w:ascii="Times New Roman" w:hAnsi="Times New Roman"/>
                <w:szCs w:val="21"/>
              </w:rPr>
              <w:t xml:space="preserve">6.3</w:t>
            </w:r>
            <w:r>
              <w:rPr>
                <w:rFonts w:ascii="Times New Roman" w:hAnsi="Times New Roman"/>
                <w:szCs w:val="21"/>
              </w:rPr>
              <w:t xml:space="preserve">支持根据护理模板的使用频率，在用户检索时进行智能排序，使用频率最高的模板在最上面，用户在选择护理模板时，可以快速选择；</w:t>
            </w:r>
            <w:r/>
          </w:p>
          <w:p>
            <w:pPr>
              <w:rPr>
                <w:rFonts w:ascii="Times New Roman" w:hAnsi="Times New Roman"/>
                <w:szCs w:val="21"/>
              </w:rPr>
            </w:pPr>
            <w:r>
              <w:rPr>
                <w:rFonts w:hint="eastAsia" w:ascii="Times New Roman" w:hAnsi="Times New Roman"/>
                <w:szCs w:val="21"/>
              </w:rPr>
              <w:t xml:space="preserve">6.4</w:t>
            </w:r>
            <w:r>
              <w:rPr>
                <w:rFonts w:ascii="Times New Roman" w:hAnsi="Times New Roman"/>
                <w:szCs w:val="21"/>
              </w:rPr>
              <w:t xml:space="preserve">支持使用快捷键从“医嘱”自行选择医嘱信息记入护理措施；</w:t>
            </w:r>
            <w:r/>
          </w:p>
          <w:p>
            <w:pPr>
              <w:rPr>
                <w:rFonts w:ascii="Times New Roman" w:hAnsi="Times New Roman"/>
                <w:szCs w:val="21"/>
              </w:rPr>
            </w:pPr>
            <w:r>
              <w:rPr>
                <w:rFonts w:hint="eastAsia" w:ascii="Times New Roman" w:hAnsi="Times New Roman"/>
                <w:szCs w:val="21"/>
              </w:rPr>
              <w:t xml:space="preserve">6.5</w:t>
            </w:r>
            <w:r>
              <w:rPr>
                <w:rFonts w:ascii="Times New Roman" w:hAnsi="Times New Roman"/>
                <w:szCs w:val="21"/>
              </w:rPr>
              <w:t xml:space="preserve">支持使用快捷键从“检验”自行选择检验信息中的异常值、危急值等信息记入护理措施；</w:t>
            </w:r>
            <w:r/>
          </w:p>
          <w:p>
            <w:pPr>
              <w:rPr>
                <w:rFonts w:ascii="Times New Roman" w:hAnsi="Times New Roman"/>
                <w:szCs w:val="21"/>
              </w:rPr>
            </w:pPr>
            <w:r>
              <w:rPr>
                <w:rFonts w:hint="eastAsia" w:ascii="Times New Roman" w:hAnsi="Times New Roman"/>
                <w:szCs w:val="21"/>
              </w:rPr>
              <w:t xml:space="preserve">6.6</w:t>
            </w:r>
            <w:r>
              <w:rPr>
                <w:rFonts w:ascii="Times New Roman" w:hAnsi="Times New Roman"/>
                <w:szCs w:val="21"/>
              </w:rPr>
              <w:t xml:space="preserve">支持使用快捷键从“体征”自行选择体征信息记入护理措施；</w:t>
            </w:r>
            <w:r/>
          </w:p>
          <w:p>
            <w:pPr>
              <w:rPr>
                <w:rFonts w:ascii="Times New Roman" w:hAnsi="Times New Roman"/>
                <w:szCs w:val="21"/>
              </w:rPr>
            </w:pPr>
            <w:r>
              <w:rPr>
                <w:rFonts w:hint="eastAsia" w:ascii="Times New Roman" w:hAnsi="Times New Roman"/>
                <w:szCs w:val="21"/>
              </w:rPr>
              <w:t xml:space="preserve">6.7</w:t>
            </w:r>
            <w:r>
              <w:rPr>
                <w:rFonts w:ascii="Times New Roman" w:hAnsi="Times New Roman"/>
                <w:szCs w:val="21"/>
              </w:rPr>
              <w:t xml:space="preserve">支持使用快捷键从“检查”自行选择检查信息记入护理措施；</w:t>
            </w:r>
            <w:r/>
          </w:p>
          <w:p>
            <w:pPr>
              <w:rPr>
                <w:rFonts w:ascii="Times New Roman" w:hAnsi="Times New Roman"/>
                <w:szCs w:val="21"/>
              </w:rPr>
            </w:pPr>
            <w:r>
              <w:rPr>
                <w:rFonts w:hint="eastAsia" w:ascii="Times New Roman" w:hAnsi="Times New Roman"/>
                <w:szCs w:val="21"/>
              </w:rPr>
              <w:t xml:space="preserve">6.8</w:t>
            </w:r>
            <w:r>
              <w:rPr>
                <w:rFonts w:ascii="Times New Roman" w:hAnsi="Times New Roman"/>
                <w:szCs w:val="21"/>
              </w:rPr>
              <w:t xml:space="preserve">支持使用快捷键从“特殊字符”自行选择相应符号记入护理措施；</w:t>
            </w:r>
            <w:r/>
          </w:p>
          <w:p>
            <w:pPr>
              <w:rPr>
                <w:rFonts w:ascii="Times New Roman" w:hAnsi="Times New Roman"/>
                <w:szCs w:val="21"/>
              </w:rPr>
            </w:pPr>
            <w:r>
              <w:rPr>
                <w:rFonts w:hint="eastAsia" w:ascii="Times New Roman" w:hAnsi="Times New Roman"/>
                <w:szCs w:val="21"/>
              </w:rPr>
              <w:t xml:space="preserve">6.9</w:t>
            </w:r>
            <w:r>
              <w:rPr>
                <w:rFonts w:ascii="Times New Roman" w:hAnsi="Times New Roman"/>
                <w:szCs w:val="21"/>
              </w:rPr>
              <w:t xml:space="preserve">支持对护理记录单进行快速的双签名审核；</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评估评分</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评分总览：</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支持按照月份展现患者当月每天的护理评分和医疗评分，并可以查看历史评分；</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支持以图表的形式展现患者入科后每月的评分以及所有评分每次评分的分值，并用醒目颜色来区分危重等级便于查看分析；</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评分：</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根据指南和医院规定，支持对护理评估评分进行必要的修改和补充，涵盖但不限于GCS、RASS、CPOT、CAM-ICU、肌力评分、FPS、NRS、Braden、TISS、CAM-ICU、Caprini、Barthel、Padua、Autar、Morse、UEX以及跌倒坠床风险评估等评分系统；</w:t>
            </w:r>
            <w:r/>
          </w:p>
          <w:p>
            <w:pPr>
              <w:rPr>
                <w:rFonts w:ascii="Times New Roman" w:hAnsi="Times New Roman"/>
                <w:b/>
                <w:bCs/>
                <w:szCs w:val="21"/>
              </w:rPr>
            </w:pPr>
            <w:r>
              <w:rPr>
                <w:rFonts w:hint="eastAsia" w:ascii="Times New Roman" w:hAnsi="Times New Roman"/>
                <w:b/>
                <w:bCs/>
                <w:szCs w:val="21"/>
              </w:rPr>
              <w:t xml:space="preserve">2.2</w:t>
            </w:r>
            <w:r>
              <w:rPr>
                <w:rFonts w:ascii="Times New Roman" w:hAnsi="Times New Roman"/>
                <w:b/>
                <w:bCs/>
                <w:szCs w:val="21"/>
              </w:rPr>
              <w:t xml:space="preserve">▲支持根据模板自定义创建多样化的医护评估评分表，涵盖多种配置模板，包括不限于带分值模板、无分值模板、带描述模板、互斥模板、选项带字母模板、单选模板、多选模板、选项带图片模板、选项带字母以及选项带输入框模板等；（投标人须提供</w:t>
            </w:r>
            <w:r>
              <w:rPr>
                <w:rFonts w:hint="eastAsia" w:ascii="Times New Roman" w:hAnsi="Times New Roman"/>
                <w:b/>
                <w:bCs/>
                <w:szCs w:val="21"/>
                <w:lang w:val="en-US" w:eastAsia="zh-CN"/>
              </w:rPr>
              <w:t xml:space="preserve">具有CNAS或CMA标识</w:t>
            </w:r>
            <w:r>
              <w:rPr>
                <w:rFonts w:ascii="Times New Roman" w:hAnsi="Times New Roman"/>
                <w:b/>
                <w:bCs/>
                <w:szCs w:val="21"/>
              </w:rPr>
              <w:t xml:space="preserve">的第三方检测机构出具的产品功能检测报告。）</w:t>
            </w:r>
            <w:r/>
          </w:p>
          <w:p>
            <w:pPr>
              <w:rPr>
                <w:rFonts w:ascii="Times New Roman" w:hAnsi="Times New Roman"/>
                <w:szCs w:val="21"/>
              </w:rPr>
            </w:pPr>
            <w:r>
              <w:rPr>
                <w:rFonts w:hint="eastAsia" w:ascii="Times New Roman" w:hAnsi="Times New Roman"/>
                <w:szCs w:val="21"/>
              </w:rPr>
              <w:t xml:space="preserve">2.3</w:t>
            </w:r>
            <w:r>
              <w:rPr>
                <w:rFonts w:ascii="Times New Roman" w:hAnsi="Times New Roman"/>
                <w:szCs w:val="21"/>
              </w:rPr>
              <w:t xml:space="preserve">支持历史评分记录自动形成趋势图，用醒目颜色来区分历史评分的危重等级，综合展示趋势分析，提供评分历史记录详情展现；</w:t>
            </w:r>
            <w:r/>
          </w:p>
          <w:p>
            <w:pPr>
              <w:rPr>
                <w:rFonts w:ascii="Times New Roman" w:hAnsi="Times New Roman"/>
                <w:szCs w:val="21"/>
              </w:rPr>
            </w:pPr>
            <w:r>
              <w:rPr>
                <w:rFonts w:hint="eastAsia" w:ascii="Times New Roman" w:hAnsi="Times New Roman"/>
                <w:szCs w:val="21"/>
              </w:rPr>
              <w:t xml:space="preserve">2.4</w:t>
            </w:r>
            <w:r>
              <w:rPr>
                <w:rFonts w:ascii="Times New Roman" w:hAnsi="Times New Roman"/>
                <w:szCs w:val="21"/>
              </w:rPr>
              <w:t xml:space="preserve">支持根据评分内容能够自动计算出总分；</w:t>
            </w:r>
            <w:r/>
          </w:p>
          <w:p>
            <w:pPr>
              <w:rPr>
                <w:rFonts w:ascii="Times New Roman" w:hAnsi="Times New Roman"/>
                <w:szCs w:val="21"/>
              </w:rPr>
            </w:pPr>
            <w:r>
              <w:rPr>
                <w:rFonts w:hint="eastAsia" w:ascii="Times New Roman" w:hAnsi="Times New Roman"/>
                <w:szCs w:val="21"/>
              </w:rPr>
              <w:t xml:space="preserve">2.5</w:t>
            </w:r>
            <w:r>
              <w:rPr>
                <w:rFonts w:ascii="Times New Roman" w:hAnsi="Times New Roman"/>
                <w:szCs w:val="21"/>
              </w:rPr>
              <w:t xml:space="preserve">支持根据评分总分给出相应的严重程度提醒以及护理措施推荐；</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评分数据提取：</w:t>
            </w:r>
            <w:r/>
          </w:p>
          <w:p>
            <w:pPr>
              <w:rPr>
                <w:rFonts w:ascii="Times New Roman" w:hAnsi="Times New Roman"/>
                <w:szCs w:val="21"/>
              </w:rPr>
            </w:pPr>
            <w:r>
              <w:rPr>
                <w:rFonts w:hint="eastAsia" w:ascii="Times New Roman" w:hAnsi="Times New Roman"/>
                <w:szCs w:val="21"/>
              </w:rPr>
              <w:t xml:space="preserve">3.1</w:t>
            </w:r>
            <w:r>
              <w:rPr>
                <w:rFonts w:ascii="Times New Roman" w:hAnsi="Times New Roman"/>
                <w:szCs w:val="21"/>
              </w:rPr>
              <w:t xml:space="preserve">支持一键提取评分项目所需填写的数据，支持提取到的数据显示相关的数据来源，包含体征数据的具体产生时间、检验数据的具体报告名称以及报告时间等；</w:t>
            </w:r>
            <w:r/>
          </w:p>
        </w:tc>
      </w:tr>
      <w:tr>
        <w:trPr/>
        <w:tc>
          <w:tcPr>
            <w:tcW w:w="681" w:type="pct"/>
            <w:textDirection w:val="lrTb"/>
            <w:noWrap w:val="false"/>
          </w:tcPr>
          <w:p>
            <w:pPr>
              <w:rPr>
                <w:rFonts w:ascii="Times New Roman" w:hAnsi="Times New Roman"/>
                <w:szCs w:val="21"/>
              </w:rPr>
            </w:pPr>
            <w:r>
              <w:rPr>
                <w:rFonts w:ascii="Times New Roman" w:hAnsi="Times New Roman"/>
                <w:szCs w:val="21"/>
              </w:rPr>
              <w:t xml:space="preserve">护士交接班</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护士交接班：</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支持进行护士交接班流程，交班时显示患者基本信息包括：床位号、姓名、住院号、入科时间、手术信息、最新诊断；</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支持自动集成患者体征趋势图、每小时出入量、平衡量、当日新开医嘱、当日停止医嘱、当日导管情况、当日检验信息等；</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支持手动书写交班小结、接班备注，并且可以暂存信息，确认后再进行交班；</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支持班次内交接班，在班次还没有结束时，可以进行班次内交接班；</w:t>
            </w:r>
            <w:r/>
          </w:p>
        </w:tc>
      </w:tr>
      <w:tr>
        <w:trPr/>
        <w:tc>
          <w:tcPr>
            <w:tcW w:w="681" w:type="pct"/>
            <w:textDirection w:val="lrTb"/>
            <w:noWrap w:val="false"/>
          </w:tcPr>
          <w:p>
            <w:pPr>
              <w:rPr>
                <w:rFonts w:ascii="Times New Roman" w:hAnsi="Times New Roman"/>
                <w:szCs w:val="21"/>
              </w:rPr>
            </w:pPr>
            <w:r>
              <w:rPr>
                <w:rFonts w:ascii="Times New Roman" w:hAnsi="Times New Roman"/>
                <w:szCs w:val="21"/>
              </w:rPr>
              <w:t xml:space="preserve">公告栏</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公告栏：</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支持发布患者重要关注事项，提醒医护人员注意；</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支持信息的添加、修改、删除；</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支持信息排序功能；</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支持自行决定信息是否显示；</w:t>
            </w:r>
            <w:r/>
          </w:p>
        </w:tc>
      </w:tr>
      <w:tr>
        <w:trPr/>
        <w:tc>
          <w:tcPr>
            <w:tcW w:w="681" w:type="pct"/>
            <w:textDirection w:val="lrTb"/>
            <w:noWrap w:val="false"/>
          </w:tcPr>
          <w:p>
            <w:pPr>
              <w:rPr>
                <w:rFonts w:ascii="Times New Roman" w:hAnsi="Times New Roman"/>
                <w:szCs w:val="21"/>
              </w:rPr>
            </w:pPr>
            <w:r>
              <w:rPr>
                <w:rFonts w:ascii="Times New Roman" w:hAnsi="Times New Roman"/>
                <w:szCs w:val="21"/>
              </w:rPr>
              <w:t xml:space="preserve">抢救</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抢救：</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支持一键式抢救模式，启动后系统自动进入预设的抢救时期患者体征密集采集模式，支持修改采集频率；</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支持抢救药物、抢救措施快速记录；</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支持查看患者历史抢救记录详情；</w:t>
            </w:r>
            <w:r/>
          </w:p>
        </w:tc>
      </w:tr>
      <w:tr>
        <w:trPr/>
        <w:tc>
          <w:tcPr>
            <w:tcW w:w="681" w:type="pct"/>
            <w:textDirection w:val="lrTb"/>
            <w:noWrap w:val="false"/>
          </w:tcPr>
          <w:p>
            <w:pPr>
              <w:rPr>
                <w:rFonts w:ascii="Times New Roman" w:hAnsi="Times New Roman"/>
                <w:szCs w:val="21"/>
              </w:rPr>
            </w:pPr>
            <w:r>
              <w:rPr>
                <w:rFonts w:ascii="Times New Roman" w:hAnsi="Times New Roman"/>
                <w:szCs w:val="21"/>
              </w:rPr>
              <w:t xml:space="preserve">护理文书</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特护单：</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支持自动采集、汇总护理记录包括：记录患者不同时间点的床旁护理情况、每班次对患者管路监测评估形成必要的记录护理记录，支持根据用户要求定制；</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患者病情变化数据自动采集、通过折线图表和数据直观显示患者病情的波动情况，如汇总患者24小时内的各种生命体征、出入量、平衡量、护理操作、用药情况、评估情况、特殊事件等病情观察与措施，减少护士文字书写时间，支持根据用户要求定制；</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支持以列表形式展示患者的多次入科的重症护理记录单；</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支持特护单的预览与打印；</w:t>
            </w:r>
            <w:r/>
          </w:p>
        </w:tc>
      </w:tr>
      <w:tr>
        <w:trPr>
          <w:trHeight w:val="90"/>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查房总览</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病情总览：</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支持以人体图的形式查看患者任意时间的病情数据，可以查看循环系统监测数据：包含但不限于生命体征实时监测，显示体温、心率、血压、血氧饱和度等参数；</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支持查看呼吸系统监测数据：包含常见的呼吸系统的监测参数，包括潮气量、吸入氧浓度、气道峰压等参数；</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支持查看神经系统监测数据：包括但不限于GCS 评分、瞳孔、意识；</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支持查看感染与预防的监测数据：包括呼吸机相关肺炎（VAP）、血管内导管相关血流感染（CRBSI）、导尿管相关泌尿系感染（CAUTI）是否发生以及是否进行深静脉血栓(DVT)预防；</w:t>
            </w:r>
            <w:r/>
          </w:p>
          <w:p>
            <w:pPr>
              <w:rPr>
                <w:rFonts w:ascii="Times New Roman" w:hAnsi="Times New Roman"/>
                <w:szCs w:val="21"/>
              </w:rPr>
            </w:pPr>
            <w:r>
              <w:rPr>
                <w:rFonts w:hint="eastAsia" w:ascii="Times New Roman" w:hAnsi="Times New Roman"/>
                <w:szCs w:val="21"/>
              </w:rPr>
              <w:t xml:space="preserve">1.5</w:t>
            </w:r>
            <w:r>
              <w:rPr>
                <w:rFonts w:ascii="Times New Roman" w:hAnsi="Times New Roman"/>
                <w:szCs w:val="21"/>
              </w:rPr>
              <w:t xml:space="preserve">支持查看血糖监测数据：包含血糖值、血酮值等数据；可以查看消化系统数据：包含今日营养处方、昨日目标热量、昨日实际热量等数据；</w:t>
            </w:r>
            <w:r/>
          </w:p>
          <w:p>
            <w:pPr>
              <w:rPr>
                <w:rFonts w:ascii="Times New Roman" w:hAnsi="Times New Roman"/>
                <w:szCs w:val="21"/>
              </w:rPr>
            </w:pPr>
            <w:r>
              <w:rPr>
                <w:rFonts w:hint="eastAsia" w:ascii="Times New Roman" w:hAnsi="Times New Roman"/>
                <w:szCs w:val="21"/>
              </w:rPr>
              <w:t xml:space="preserve">1.6</w:t>
            </w:r>
            <w:r>
              <w:rPr>
                <w:rFonts w:ascii="Times New Roman" w:hAnsi="Times New Roman"/>
                <w:szCs w:val="21"/>
              </w:rPr>
              <w:t xml:space="preserve">支持查看电解质、酸碱度平衡数据：包括血气中的碳酸氢根、二氧化碳分压、酸碱度、氧分压、钠离子、氯离子、钾离子等，通过横向对比的方式进行数据的分析；</w:t>
            </w:r>
            <w:r/>
          </w:p>
          <w:p>
            <w:pPr>
              <w:rPr>
                <w:rFonts w:ascii="Times New Roman" w:hAnsi="Times New Roman"/>
                <w:szCs w:val="21"/>
              </w:rPr>
            </w:pPr>
            <w:r>
              <w:rPr>
                <w:rFonts w:hint="eastAsia" w:ascii="Times New Roman" w:hAnsi="Times New Roman"/>
                <w:szCs w:val="21"/>
              </w:rPr>
              <w:t xml:space="preserve">1.7</w:t>
            </w:r>
            <w:r>
              <w:rPr>
                <w:rFonts w:ascii="Times New Roman" w:hAnsi="Times New Roman"/>
                <w:szCs w:val="21"/>
              </w:rPr>
              <w:t xml:space="preserve">支持查看血液系统监测数据：包括血液相关的检验，例如血气测定、血细胞计数等报告的详细检验数据；</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基础信息：</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支持查看患者的基本信息；</w:t>
            </w:r>
            <w:r/>
          </w:p>
          <w:p>
            <w:pPr>
              <w:rPr>
                <w:rFonts w:ascii="Times New Roman" w:hAnsi="Times New Roman"/>
                <w:szCs w:val="21"/>
              </w:rPr>
            </w:pPr>
            <w:r>
              <w:rPr>
                <w:rFonts w:hint="eastAsia" w:ascii="Times New Roman" w:hAnsi="Times New Roman"/>
                <w:szCs w:val="21"/>
              </w:rPr>
              <w:t xml:space="preserve">2.2</w:t>
            </w:r>
            <w:r>
              <w:rPr>
                <w:rFonts w:ascii="Times New Roman" w:hAnsi="Times New Roman"/>
                <w:szCs w:val="21"/>
              </w:rPr>
              <w:t xml:space="preserve">支持提供护理监测数据；</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病情记录：</w:t>
            </w:r>
            <w:r/>
          </w:p>
          <w:p>
            <w:pPr>
              <w:rPr>
                <w:rFonts w:ascii="Times New Roman" w:hAnsi="Times New Roman"/>
                <w:szCs w:val="21"/>
              </w:rPr>
            </w:pPr>
            <w:r>
              <w:rPr>
                <w:rFonts w:hint="eastAsia" w:ascii="Times New Roman" w:hAnsi="Times New Roman"/>
                <w:szCs w:val="21"/>
              </w:rPr>
              <w:t xml:space="preserve">3.1</w:t>
            </w:r>
            <w:r>
              <w:rPr>
                <w:rFonts w:ascii="Times New Roman" w:hAnsi="Times New Roman"/>
                <w:szCs w:val="21"/>
              </w:rPr>
              <w:t xml:space="preserve">支持提供在科患者的详细病历资料；</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医嘱信息：</w:t>
            </w:r>
            <w:r/>
          </w:p>
          <w:p>
            <w:pPr>
              <w:rPr>
                <w:rFonts w:ascii="Times New Roman" w:hAnsi="Times New Roman"/>
                <w:szCs w:val="21"/>
              </w:rPr>
            </w:pPr>
            <w:r>
              <w:rPr>
                <w:rFonts w:hint="eastAsia" w:ascii="Times New Roman" w:hAnsi="Times New Roman"/>
                <w:szCs w:val="21"/>
              </w:rPr>
              <w:t xml:space="preserve">4.1</w:t>
            </w:r>
            <w:r>
              <w:rPr>
                <w:rFonts w:ascii="Times New Roman" w:hAnsi="Times New Roman"/>
                <w:szCs w:val="21"/>
              </w:rPr>
              <w:t xml:space="preserve">支持提供在科患者的所有医嘱信息；</w:t>
            </w:r>
            <w:r/>
          </w:p>
          <w:p>
            <w:pPr>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检验信息：</w:t>
            </w:r>
            <w:r/>
          </w:p>
          <w:p>
            <w:pPr>
              <w:rPr>
                <w:rFonts w:ascii="Times New Roman" w:hAnsi="Times New Roman"/>
                <w:szCs w:val="21"/>
              </w:rPr>
            </w:pPr>
            <w:r>
              <w:rPr>
                <w:rFonts w:hint="eastAsia" w:ascii="Times New Roman" w:hAnsi="Times New Roman"/>
                <w:szCs w:val="21"/>
              </w:rPr>
              <w:t xml:space="preserve">5.1</w:t>
            </w:r>
            <w:r>
              <w:rPr>
                <w:rFonts w:ascii="Times New Roman" w:hAnsi="Times New Roman"/>
                <w:szCs w:val="21"/>
              </w:rPr>
              <w:t xml:space="preserve">支持提供在科患者的全部检验信息；</w:t>
            </w:r>
            <w:r/>
          </w:p>
          <w:p>
            <w:pPr>
              <w:rPr>
                <w:rFonts w:ascii="Times New Roman" w:hAnsi="Times New Roman"/>
                <w:szCs w:val="21"/>
              </w:rPr>
            </w:pPr>
            <w:r>
              <w:rPr>
                <w:rFonts w:hint="eastAsia" w:ascii="Times New Roman" w:hAnsi="Times New Roman"/>
                <w:szCs w:val="21"/>
              </w:rPr>
              <w:t xml:space="preserve">5.2</w:t>
            </w:r>
            <w:r>
              <w:rPr>
                <w:rFonts w:ascii="Times New Roman" w:hAnsi="Times New Roman"/>
                <w:szCs w:val="21"/>
              </w:rPr>
              <w:t xml:space="preserve">支持危急值检索功能，可按报告名称进行筛选或按项目名称进行搜索，快速查找危急值；</w:t>
            </w:r>
            <w:r/>
          </w:p>
          <w:p>
            <w:pPr>
              <w:rPr>
                <w:rFonts w:ascii="Times New Roman" w:hAnsi="Times New Roman"/>
                <w:szCs w:val="21"/>
              </w:rPr>
            </w:pPr>
            <w:r>
              <w:rPr>
                <w:rFonts w:hint="eastAsia" w:ascii="Times New Roman" w:hAnsi="Times New Roman"/>
                <w:szCs w:val="21"/>
              </w:rPr>
              <w:t xml:space="preserve">5.3</w:t>
            </w:r>
            <w:r>
              <w:rPr>
                <w:rFonts w:ascii="Times New Roman" w:hAnsi="Times New Roman"/>
                <w:szCs w:val="21"/>
              </w:rPr>
              <w:t xml:space="preserve">支持自动对异常值、危急值使用醒目标识标出，支持单项指标点击快捷键可跳转到指标的详细趋势；</w:t>
            </w:r>
            <w:r/>
          </w:p>
          <w:p>
            <w:pPr>
              <w:rPr>
                <w:rFonts w:ascii="Times New Roman" w:hAnsi="Times New Roman"/>
                <w:szCs w:val="21"/>
              </w:rPr>
            </w:pPr>
            <w:r>
              <w:rPr>
                <w:rFonts w:hint="eastAsia" w:ascii="Times New Roman" w:hAnsi="Times New Roman"/>
                <w:szCs w:val="21"/>
              </w:rPr>
              <w:t xml:space="preserve">5.4</w:t>
            </w:r>
            <w:r>
              <w:rPr>
                <w:rFonts w:ascii="Times New Roman" w:hAnsi="Times New Roman"/>
                <w:szCs w:val="21"/>
              </w:rPr>
              <w:t xml:space="preserve">支持以单份报告方式查看各项目明细数据，也支持以多份报告组成的趋势图方式查看单项或多项数据的走势趋势；</w:t>
            </w:r>
            <w:r/>
          </w:p>
          <w:p>
            <w:pPr>
              <w:rPr>
                <w:rFonts w:ascii="Times New Roman" w:hAnsi="Times New Roman"/>
                <w:szCs w:val="21"/>
              </w:rPr>
            </w:pPr>
            <w:r>
              <w:rPr>
                <w:rFonts w:hint="eastAsia" w:ascii="Times New Roman" w:hAnsi="Times New Roman"/>
                <w:szCs w:val="21"/>
              </w:rPr>
              <w:t xml:space="preserve">5.5</w:t>
            </w:r>
            <w:r>
              <w:rPr>
                <w:rFonts w:ascii="Times New Roman" w:hAnsi="Times New Roman"/>
                <w:szCs w:val="21"/>
              </w:rPr>
              <w:t xml:space="preserve">支持自定义趋势组合，可进行跨检验单自定义组合指标，支持多条检验数据进行多维度趋势分析并且检验数据指标异常超于最低值或最大值时，有特殊颜色数值标注；可以对多个患者复用自定义组合指标，对患者个体的未出检验结果快速跟踪； </w:t>
            </w:r>
            <w:r/>
          </w:p>
          <w:p>
            <w:pPr>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微生物检验：</w:t>
            </w:r>
            <w:r/>
          </w:p>
          <w:p>
            <w:pPr>
              <w:rPr>
                <w:rFonts w:ascii="Times New Roman" w:hAnsi="Times New Roman"/>
                <w:szCs w:val="21"/>
              </w:rPr>
            </w:pPr>
            <w:r>
              <w:rPr>
                <w:rFonts w:hint="eastAsia" w:ascii="Times New Roman" w:hAnsi="Times New Roman"/>
                <w:szCs w:val="21"/>
              </w:rPr>
              <w:t xml:space="preserve">6.1</w:t>
            </w:r>
            <w:r>
              <w:rPr>
                <w:rFonts w:ascii="Times New Roman" w:hAnsi="Times New Roman"/>
                <w:szCs w:val="21"/>
              </w:rPr>
              <w:t xml:space="preserve">支持提供在科患者的全部微生物检验信息；</w:t>
            </w:r>
            <w:r/>
          </w:p>
          <w:p>
            <w:pPr>
              <w:rPr>
                <w:rFonts w:ascii="Times New Roman" w:hAnsi="Times New Roman"/>
                <w:szCs w:val="21"/>
              </w:rPr>
            </w:pPr>
            <w:r>
              <w:rPr>
                <w:rFonts w:hint="eastAsia" w:ascii="Times New Roman" w:hAnsi="Times New Roman"/>
                <w:szCs w:val="21"/>
              </w:rPr>
              <w:t xml:space="preserve">6.2</w:t>
            </w:r>
            <w:r>
              <w:rPr>
                <w:rFonts w:ascii="Times New Roman" w:hAnsi="Times New Roman"/>
                <w:szCs w:val="21"/>
              </w:rPr>
              <w:t xml:space="preserve">支持以单份报告方式查看报告结果数据；</w:t>
            </w:r>
            <w:r/>
          </w:p>
          <w:p>
            <w:pPr>
              <w:rPr>
                <w:rFonts w:ascii="Times New Roman" w:hAnsi="Times New Roman"/>
                <w:szCs w:val="21"/>
              </w:rPr>
            </w:pPr>
            <w:r>
              <w:rPr>
                <w:rFonts w:hint="eastAsia" w:ascii="Times New Roman" w:hAnsi="Times New Roman"/>
                <w:szCs w:val="21"/>
              </w:rPr>
              <w:t xml:space="preserve">6.3</w:t>
            </w:r>
            <w:r>
              <w:rPr>
                <w:rFonts w:ascii="Times New Roman" w:hAnsi="Times New Roman"/>
                <w:szCs w:val="21"/>
              </w:rPr>
              <w:t xml:space="preserve">支持以列表形式提示患者检验指标异常值，且以不同颜色标注；</w:t>
            </w:r>
            <w:r/>
          </w:p>
          <w:p>
            <w:pPr>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检查信息：</w:t>
            </w:r>
            <w:r/>
          </w:p>
          <w:p>
            <w:pPr>
              <w:rPr>
                <w:rFonts w:ascii="Times New Roman" w:hAnsi="Times New Roman"/>
                <w:szCs w:val="21"/>
              </w:rPr>
            </w:pPr>
            <w:r>
              <w:rPr>
                <w:rFonts w:hint="eastAsia" w:ascii="Times New Roman" w:hAnsi="Times New Roman"/>
                <w:szCs w:val="21"/>
              </w:rPr>
              <w:t xml:space="preserve">7.1</w:t>
            </w:r>
            <w:r>
              <w:rPr>
                <w:rFonts w:ascii="Times New Roman" w:hAnsi="Times New Roman"/>
                <w:szCs w:val="21"/>
              </w:rPr>
              <w:t xml:space="preserve">支持提供在科患者的检查信息；</w:t>
            </w:r>
            <w:r/>
          </w:p>
          <w:p>
            <w:pPr>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护理记录：</w:t>
            </w:r>
            <w:r/>
          </w:p>
          <w:p>
            <w:pPr>
              <w:rPr>
                <w:rFonts w:ascii="Times New Roman" w:hAnsi="Times New Roman"/>
                <w:szCs w:val="21"/>
              </w:rPr>
            </w:pPr>
            <w:r>
              <w:rPr>
                <w:rFonts w:hint="eastAsia" w:ascii="Times New Roman" w:hAnsi="Times New Roman"/>
                <w:szCs w:val="21"/>
              </w:rPr>
              <w:t xml:space="preserve">8.1</w:t>
            </w:r>
            <w:r>
              <w:rPr>
                <w:rFonts w:ascii="Times New Roman" w:hAnsi="Times New Roman"/>
                <w:szCs w:val="21"/>
              </w:rPr>
              <w:t xml:space="preserve">支持完整集成床旁监护系统生成的护理记录单并可供导出；</w:t>
            </w:r>
            <w:r/>
          </w:p>
          <w:p>
            <w:pPr>
              <w:rPr>
                <w:rFonts w:ascii="Times New Roman" w:hAnsi="Times New Roman"/>
                <w:szCs w:val="21"/>
              </w:rPr>
            </w:pPr>
            <w:r>
              <w:rPr>
                <w:rFonts w:hint="eastAsia" w:ascii="Times New Roman" w:hAnsi="Times New Roman"/>
                <w:szCs w:val="21"/>
              </w:rPr>
              <w:t xml:space="preserve">9、</w:t>
            </w:r>
            <w:r>
              <w:rPr>
                <w:rFonts w:ascii="Times New Roman" w:hAnsi="Times New Roman"/>
                <w:szCs w:val="21"/>
              </w:rPr>
              <w:t xml:space="preserve">360视图：</w:t>
            </w:r>
            <w:r/>
          </w:p>
          <w:p>
            <w:pPr>
              <w:rPr>
                <w:rFonts w:ascii="Times New Roman" w:hAnsi="Times New Roman"/>
                <w:szCs w:val="21"/>
              </w:rPr>
            </w:pPr>
            <w:r>
              <w:rPr>
                <w:rFonts w:hint="eastAsia" w:ascii="Times New Roman" w:hAnsi="Times New Roman"/>
                <w:szCs w:val="21"/>
              </w:rPr>
              <w:t xml:space="preserve">9.1</w:t>
            </w:r>
            <w:r>
              <w:rPr>
                <w:rFonts w:ascii="Times New Roman" w:hAnsi="Times New Roman"/>
                <w:szCs w:val="21"/>
              </w:rPr>
              <w:t xml:space="preserve">支持医院360视图接入，展示该患者360视图全量信息，省去频繁跳转操作；</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医生交接班</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医生交接班：</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支持进行医生交接班流程，交班时显示患者基本信息；</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支持自动集成患者体征趋势图；</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支持手动书写交班小结、接班备注，并且可以暂存信息，确认后再进行交班；</w:t>
            </w:r>
            <w:r/>
          </w:p>
        </w:tc>
      </w:tr>
      <w:tr>
        <w:trPr/>
        <w:tc>
          <w:tcPr>
            <w:gridSpan w:val="2"/>
            <w:shd w:val="clear" w:color="auto" w:fill="d7d7d7" w:themeFill="background1" w:themeFillShade="D8"/>
            <w:tcW w:w="5000" w:type="pct"/>
            <w:vAlign w:val="center"/>
            <w:textDirection w:val="lrTb"/>
            <w:noWrap w:val="false"/>
          </w:tcPr>
          <w:p>
            <w:pPr>
              <w:rPr>
                <w:rFonts w:ascii="Times New Roman" w:hAnsi="Times New Roman"/>
                <w:szCs w:val="21"/>
              </w:rPr>
            </w:pPr>
            <w:r>
              <w:rPr>
                <w:rFonts w:ascii="Times New Roman" w:hAnsi="Times New Roman"/>
                <w:szCs w:val="21"/>
              </w:rPr>
              <w:t xml:space="preserve">智能预警辅助中心</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临床诊疗</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医疗核查：</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支持管床医生对患者每日诊疗工作核查校验；</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支持责任护士对患者出院工作核查、死亡患者工作核查；</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营养监测：</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支持展示患者营养计算详细信息；</w:t>
            </w:r>
            <w:r/>
          </w:p>
          <w:p>
            <w:pPr>
              <w:rPr>
                <w:rFonts w:ascii="Times New Roman" w:hAnsi="Times New Roman"/>
                <w:szCs w:val="21"/>
              </w:rPr>
            </w:pPr>
            <w:r>
              <w:rPr>
                <w:rFonts w:hint="eastAsia" w:ascii="Times New Roman" w:hAnsi="Times New Roman"/>
                <w:szCs w:val="21"/>
              </w:rPr>
              <w:t xml:space="preserve">2.2</w:t>
            </w:r>
            <w:r>
              <w:rPr>
                <w:rFonts w:ascii="Times New Roman" w:hAnsi="Times New Roman"/>
                <w:szCs w:val="21"/>
              </w:rPr>
              <w:t xml:space="preserve">支持提取已开立营养类型医嘱信息，进行营养计算时自动减去医嘱中已补充营养，系统再自动算出需要补充的热量分配；</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三管评估：</w:t>
            </w:r>
            <w:r/>
          </w:p>
          <w:p>
            <w:pPr>
              <w:rPr>
                <w:rFonts w:ascii="Times New Roman" w:hAnsi="Times New Roman"/>
                <w:szCs w:val="21"/>
              </w:rPr>
            </w:pPr>
            <w:r>
              <w:rPr>
                <w:rFonts w:hint="eastAsia" w:ascii="Times New Roman" w:hAnsi="Times New Roman"/>
                <w:szCs w:val="21"/>
              </w:rPr>
              <w:t xml:space="preserve">3.1</w:t>
            </w:r>
            <w:r>
              <w:rPr>
                <w:rFonts w:ascii="Times New Roman" w:hAnsi="Times New Roman"/>
                <w:szCs w:val="21"/>
              </w:rPr>
              <w:t xml:space="preserve">支持VAP、CRBSI、CAUTI感染情况数据自动提取护士评估的数据，医生支持修改，修改后的数据支持同步至护士维护的管路感染数据；</w:t>
            </w:r>
            <w:r/>
          </w:p>
          <w:p>
            <w:pPr>
              <w:rPr>
                <w:rFonts w:ascii="Times New Roman" w:hAnsi="Times New Roman"/>
                <w:szCs w:val="21"/>
              </w:rPr>
            </w:pPr>
            <w:r>
              <w:rPr>
                <w:rFonts w:hint="eastAsia" w:ascii="Times New Roman" w:hAnsi="Times New Roman"/>
                <w:szCs w:val="21"/>
              </w:rPr>
              <w:t xml:space="preserve">3.2</w:t>
            </w:r>
            <w:r>
              <w:rPr>
                <w:rFonts w:ascii="Times New Roman" w:hAnsi="Times New Roman"/>
                <w:szCs w:val="21"/>
              </w:rPr>
              <w:t xml:space="preserve">三管感染评估以后支持对评估记录进行审核；</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Sepsis bundle治疗闭环：</w:t>
            </w:r>
            <w:r/>
          </w:p>
          <w:p>
            <w:pPr>
              <w:rPr>
                <w:rFonts w:ascii="Times New Roman" w:hAnsi="Times New Roman"/>
                <w:szCs w:val="21"/>
              </w:rPr>
            </w:pPr>
            <w:r>
              <w:rPr>
                <w:rFonts w:hint="eastAsia" w:ascii="Times New Roman" w:hAnsi="Times New Roman"/>
                <w:szCs w:val="21"/>
              </w:rPr>
              <w:t xml:space="preserve">4.1</w:t>
            </w:r>
            <w:r>
              <w:rPr>
                <w:rFonts w:ascii="Times New Roman" w:hAnsi="Times New Roman"/>
                <w:szCs w:val="21"/>
              </w:rPr>
              <w:t xml:space="preserve">支持为感染性休克患者启动bundle集束化治疗，启动bundle治疗以后，自动提取1h/3h/6h中每一项指标的过程数据，包括但不限于乳酸值、是否在使用抗菌药前进行血培养、广谱抗菌药物、液体复苏、升压药的医嘱执行数据等信息；</w:t>
            </w:r>
            <w:r/>
          </w:p>
          <w:p>
            <w:pPr>
              <w:rPr>
                <w:rFonts w:ascii="Times New Roman" w:hAnsi="Times New Roman"/>
                <w:b/>
                <w:bCs/>
                <w:szCs w:val="21"/>
              </w:rPr>
            </w:pPr>
            <w:r>
              <w:rPr>
                <w:rFonts w:hint="eastAsia" w:ascii="Times New Roman" w:hAnsi="Times New Roman"/>
                <w:szCs w:val="21"/>
              </w:rPr>
              <w:t xml:space="preserve">4.2</w:t>
            </w:r>
            <w:r>
              <w:rPr>
                <w:rFonts w:ascii="Times New Roman" w:hAnsi="Times New Roman"/>
                <w:szCs w:val="21"/>
              </w:rPr>
              <w:t xml:space="preserve">支持在sepsis bundle执行前提供早期预警，执行中进行过程监测，执行后进行达标监测。还能自动提取并实时监测患者bundle启动前后共计16小时内的乳酸、平均动脉压、中心静脉压、血氧饱和度、血压以及升压药物等关键数据。</w:t>
            </w:r>
            <w:r>
              <w:rPr>
                <w:rFonts w:ascii="Times New Roman" w:hAnsi="Times New Roman"/>
                <w:b/>
                <w:bCs/>
                <w:szCs w:val="21"/>
              </w:rPr>
              <w:t xml:space="preserve">； </w:t>
            </w:r>
            <w:r/>
          </w:p>
          <w:p>
            <w:pPr>
              <w:rPr>
                <w:rFonts w:ascii="Times New Roman" w:hAnsi="Times New Roman"/>
                <w:b/>
                <w:bCs/>
                <w:szCs w:val="21"/>
              </w:rPr>
            </w:pPr>
            <w:r>
              <w:rPr>
                <w:rFonts w:hint="eastAsia" w:ascii="Times New Roman" w:hAnsi="Times New Roman"/>
                <w:b/>
                <w:bCs/>
                <w:szCs w:val="21"/>
              </w:rPr>
              <w:t xml:space="preserve">4.3</w:t>
            </w:r>
            <w:r>
              <w:rPr>
                <w:rFonts w:ascii="Times New Roman" w:hAnsi="Times New Roman"/>
                <w:b/>
                <w:bCs/>
                <w:szCs w:val="21"/>
              </w:rPr>
              <w:t xml:space="preserve">▲支持区分入科前、入科时、在科期间等不同时间段患者感染性休克集束化治疗完成情况监测；（投标人须提供</w:t>
            </w:r>
            <w:r>
              <w:rPr>
                <w:rFonts w:hint="eastAsia" w:ascii="Times New Roman" w:hAnsi="Times New Roman"/>
                <w:b/>
                <w:bCs/>
                <w:szCs w:val="21"/>
                <w:lang w:val="en-US" w:eastAsia="zh-CN"/>
              </w:rPr>
              <w:t xml:space="preserve">具有CNAS或CMA标识</w:t>
            </w:r>
            <w:r>
              <w:rPr>
                <w:rFonts w:ascii="Times New Roman" w:hAnsi="Times New Roman"/>
                <w:b/>
                <w:bCs/>
                <w:szCs w:val="21"/>
              </w:rPr>
              <w:t xml:space="preserve">的第三方检测机构出具的产品功能检测报告。）</w:t>
            </w:r>
            <w:r/>
          </w:p>
          <w:p>
            <w:pPr>
              <w:rPr>
                <w:rFonts w:ascii="Times New Roman" w:hAnsi="Times New Roman"/>
                <w:szCs w:val="21"/>
              </w:rPr>
            </w:pPr>
            <w:r>
              <w:rPr>
                <w:rFonts w:hint="eastAsia" w:ascii="Times New Roman" w:hAnsi="Times New Roman"/>
                <w:szCs w:val="21"/>
              </w:rPr>
              <w:t xml:space="preserve">4.4</w:t>
            </w:r>
            <w:r>
              <w:rPr>
                <w:rFonts w:ascii="Times New Roman" w:hAnsi="Times New Roman"/>
                <w:szCs w:val="21"/>
              </w:rPr>
              <w:t xml:space="preserve">支持同步bundle集束化治疗的数据自动统计到重症质量控制指标中的感染性休克1h/3h/6h集束化治疗（bundle）完成率；</w:t>
            </w:r>
            <w:r/>
          </w:p>
          <w:p>
            <w:pPr>
              <w:rPr>
                <w:rFonts w:ascii="Times New Roman" w:hAnsi="Times New Roman"/>
                <w:szCs w:val="21"/>
              </w:rPr>
            </w:pPr>
            <w:r>
              <w:rPr>
                <w:rFonts w:hint="eastAsia" w:ascii="Times New Roman" w:hAnsi="Times New Roman"/>
                <w:szCs w:val="21"/>
              </w:rPr>
              <w:t xml:space="preserve">4.5</w:t>
            </w:r>
            <w:r>
              <w:rPr>
                <w:rFonts w:ascii="Times New Roman" w:hAnsi="Times New Roman"/>
                <w:szCs w:val="21"/>
              </w:rPr>
              <w:t xml:space="preserve">支持根据科室诊疗规范动态调整1/3/6h监测阈值；</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诊疗预警</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支持依据评分预警知识库，提供评分定时提醒个性化配置，支持根据评分的不同严重程度设置不同的提醒频次，在患者的评分达到对应严重程度时，会提醒用户进行评分； </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支持依据检验预警知识库，提醒医护人员关注检验结果达到危急值或异常值指标；</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支持依据体征预警知识库，提醒医护人员关注患者体征达到预警指标；</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支持依据医嘱预警知识库，预警提醒医护人员患者医嘱变化并核查同步相关医嘱；</w:t>
            </w:r>
            <w:r/>
          </w:p>
          <w:p>
            <w:pPr>
              <w:rPr>
                <w:rFonts w:ascii="Times New Roman" w:hAnsi="Times New Roman"/>
                <w:szCs w:val="21"/>
              </w:rPr>
            </w:pPr>
            <w:r>
              <w:rPr>
                <w:rFonts w:hint="eastAsia" w:ascii="Times New Roman" w:hAnsi="Times New Roman"/>
                <w:szCs w:val="21"/>
              </w:rPr>
              <w:t xml:space="preserve">1.5</w:t>
            </w:r>
            <w:r>
              <w:rPr>
                <w:rFonts w:ascii="Times New Roman" w:hAnsi="Times New Roman"/>
                <w:szCs w:val="21"/>
              </w:rPr>
              <w:t xml:space="preserve">支持依据sepsis bundle预警知识库，提醒医护人员关注入科患者达到预警指标；</w:t>
            </w:r>
            <w:r/>
          </w:p>
          <w:p>
            <w:pPr>
              <w:rPr>
                <w:rFonts w:ascii="Times New Roman" w:hAnsi="Times New Roman"/>
                <w:szCs w:val="21"/>
              </w:rPr>
            </w:pPr>
            <w:r>
              <w:rPr>
                <w:rFonts w:hint="eastAsia" w:ascii="Times New Roman" w:hAnsi="Times New Roman"/>
                <w:szCs w:val="21"/>
              </w:rPr>
              <w:t xml:space="preserve">1.6</w:t>
            </w:r>
            <w:r>
              <w:rPr>
                <w:rFonts w:ascii="Times New Roman" w:hAnsi="Times New Roman"/>
                <w:szCs w:val="21"/>
              </w:rPr>
              <w:t xml:space="preserve">支持为患者提供预警通知后提供预警来源的快速定位；</w:t>
            </w:r>
            <w:r/>
          </w:p>
          <w:p>
            <w:pPr>
              <w:rPr>
                <w:rFonts w:ascii="Times New Roman" w:hAnsi="Times New Roman"/>
                <w:szCs w:val="21"/>
              </w:rPr>
            </w:pPr>
            <w:r>
              <w:rPr>
                <w:rFonts w:hint="eastAsia" w:ascii="Times New Roman" w:hAnsi="Times New Roman"/>
                <w:szCs w:val="21"/>
              </w:rPr>
              <w:t xml:space="preserve">1.7</w:t>
            </w:r>
            <w:r>
              <w:rPr>
                <w:rFonts w:ascii="Times New Roman" w:hAnsi="Times New Roman"/>
                <w:szCs w:val="21"/>
              </w:rPr>
              <w:t xml:space="preserve">支持所有患者历史消息回顾查询，并支持消息来源快速定位；</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诊疗规范</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持续肾脏替代治疗</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提供持续肾脏替代治疗诊疗规范，并提供按诊疗操作流程的医嘱单，以时间格式记录的血液净化护理记录单、蛋白A免疫吸附治疗记录表；</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机械通气治疗</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提供机械通气治疗医嘱单与监测单，指导临床进行机械通气辅助呼吸治疗操作，并记录过程数据；</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无创机械通气治疗</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3.1</w:t>
            </w:r>
            <w:r>
              <w:rPr>
                <w:rFonts w:ascii="Times New Roman" w:hAnsi="Times New Roman"/>
                <w:szCs w:val="21"/>
              </w:rPr>
              <w:t xml:space="preserve">提供无创机械通气治疗医嘱单与监测单，指导临床进行无创机械通气辅助呼吸治疗操作，并记录过程数据；</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俯卧位通气治疗</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4.1</w:t>
            </w:r>
            <w:r>
              <w:rPr>
                <w:rFonts w:ascii="Times New Roman" w:hAnsi="Times New Roman"/>
                <w:szCs w:val="21"/>
              </w:rPr>
              <w:t xml:space="preserve">提供俯卧位通气治疗医嘱单与监测单，指导临床进行俯卧位通气操作，并记录过程数据；</w:t>
            </w:r>
            <w:r/>
          </w:p>
          <w:p>
            <w:pPr>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中心静脉穿刺置管术</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5.1</w:t>
            </w:r>
            <w:r>
              <w:rPr>
                <w:rFonts w:ascii="Times New Roman" w:hAnsi="Times New Roman"/>
                <w:szCs w:val="21"/>
              </w:rPr>
              <w:t xml:space="preserve">提供中心静脉穿刺置管术操作与监测记录单，指导临床进行俯卧位通气操作；</w:t>
            </w:r>
            <w:r/>
          </w:p>
          <w:p>
            <w:pPr>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肺复张(RM)临床操作规范</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6.1</w:t>
            </w:r>
            <w:r>
              <w:rPr>
                <w:rFonts w:ascii="Times New Roman" w:hAnsi="Times New Roman"/>
                <w:szCs w:val="21"/>
              </w:rPr>
              <w:t xml:space="preserve">提供肺复张(RM)临床操作规范，指导临床进行肺复张(RM)临床操作；</w:t>
            </w:r>
            <w:r>
              <w:rPr>
                <w:rFonts w:hint="eastAsia" w:ascii="Times New Roman" w:hAnsi="Times New Roman"/>
                <w:szCs w:val="21"/>
              </w:rPr>
              <w:t xml:space="preserve">:7、7、</w:t>
            </w:r>
            <w:r>
              <w:rPr>
                <w:rFonts w:ascii="Times New Roman" w:hAnsi="Times New Roman"/>
                <w:szCs w:val="21"/>
              </w:rPr>
              <w:t xml:space="preserve">脉搏指示持续心输出量监测(PiCCO)置入操作</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7.1</w:t>
            </w:r>
            <w:r>
              <w:rPr>
                <w:rFonts w:ascii="Times New Roman" w:hAnsi="Times New Roman"/>
                <w:szCs w:val="21"/>
              </w:rPr>
              <w:t xml:space="preserve">提供脉搏指示持续心输出量监测(PiCCO)置入操作记录单，指导临床进行脉搏指示持续心输出量监测(PiCCO)置入操作；</w:t>
            </w:r>
            <w:r/>
          </w:p>
          <w:p>
            <w:pPr>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主动脉内球囊反搏(IABP)操作</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8.1</w:t>
            </w:r>
            <w:r>
              <w:rPr>
                <w:rFonts w:ascii="Times New Roman" w:hAnsi="Times New Roman"/>
                <w:szCs w:val="21"/>
              </w:rPr>
              <w:t xml:space="preserve">提供主动脉内球囊反搏(IABP)操作及监测记录单，指导临床进行主动脉内球囊反搏(IABP)操作，并记录过程数据；</w:t>
            </w:r>
            <w:r/>
          </w:p>
          <w:p>
            <w:pPr>
              <w:rPr>
                <w:rFonts w:ascii="Times New Roman" w:hAnsi="Times New Roman"/>
                <w:szCs w:val="21"/>
              </w:rPr>
            </w:pPr>
            <w:r>
              <w:rPr>
                <w:rFonts w:hint="eastAsia" w:ascii="Times New Roman" w:hAnsi="Times New Roman"/>
                <w:szCs w:val="21"/>
              </w:rPr>
              <w:t xml:space="preserve">9、</w:t>
            </w:r>
            <w:r>
              <w:rPr>
                <w:rFonts w:ascii="Times New Roman" w:hAnsi="Times New Roman"/>
                <w:szCs w:val="21"/>
              </w:rPr>
              <w:t xml:space="preserve">体外膜氧合(ECMO)操作</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9.1</w:t>
            </w:r>
            <w:r>
              <w:rPr>
                <w:rFonts w:ascii="Times New Roman" w:hAnsi="Times New Roman"/>
                <w:szCs w:val="21"/>
              </w:rPr>
              <w:t xml:space="preserve">提供体外膜氧合(ECMO)医嘱单与记录单，指导临床进行体外膜氧合(ECMO)操作，并记录过程数据；</w:t>
            </w:r>
            <w:r/>
          </w:p>
          <w:p>
            <w:pPr>
              <w:rPr>
                <w:rFonts w:ascii="Times New Roman" w:hAnsi="Times New Roman"/>
                <w:szCs w:val="21"/>
              </w:rPr>
            </w:pPr>
            <w:r>
              <w:rPr>
                <w:rFonts w:hint="eastAsia" w:ascii="Times New Roman" w:hAnsi="Times New Roman"/>
                <w:szCs w:val="21"/>
              </w:rPr>
              <w:t xml:space="preserve">9.2</w:t>
            </w:r>
            <w:r>
              <w:rPr>
                <w:rFonts w:ascii="Times New Roman" w:hAnsi="Times New Roman"/>
                <w:szCs w:val="21"/>
              </w:rPr>
              <w:t xml:space="preserve">医嘱单支持治疗模式切换与抗凝方式切换，对应不同的数据输入；</w:t>
            </w:r>
            <w:r/>
          </w:p>
          <w:p>
            <w:pPr>
              <w:rPr>
                <w:rFonts w:ascii="Times New Roman" w:hAnsi="Times New Roman"/>
                <w:szCs w:val="21"/>
              </w:rPr>
            </w:pPr>
            <w:r>
              <w:rPr>
                <w:rFonts w:hint="eastAsia" w:ascii="Times New Roman" w:hAnsi="Times New Roman"/>
                <w:szCs w:val="21"/>
              </w:rPr>
              <w:t xml:space="preserve">10、</w:t>
            </w:r>
            <w:r>
              <w:rPr>
                <w:rFonts w:ascii="Times New Roman" w:hAnsi="Times New Roman"/>
                <w:szCs w:val="21"/>
              </w:rPr>
              <w:t xml:space="preserve">血浆置换治疗</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10.1</w:t>
            </w:r>
            <w:r>
              <w:rPr>
                <w:rFonts w:ascii="Times New Roman" w:hAnsi="Times New Roman"/>
                <w:szCs w:val="21"/>
              </w:rPr>
              <w:t xml:space="preserve">提供血浆置换治疗记录单，指导临床进行血浆置换治疗，并记录过程数据；</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血液灌流治疗</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11.1</w:t>
            </w:r>
            <w:r>
              <w:rPr>
                <w:rFonts w:ascii="Times New Roman" w:hAnsi="Times New Roman"/>
                <w:szCs w:val="21"/>
              </w:rPr>
              <w:t xml:space="preserve">提供血液灌流治疗记录单，指导临床进行血液灌流治疗，并记录过程数据；</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教程中心</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教程中心：</w:t>
            </w:r>
            <w:r/>
          </w:p>
          <w:p>
            <w:pPr>
              <w:rPr>
                <w:rFonts w:ascii="Times New Roman" w:hAnsi="Times New Roman"/>
                <w:b/>
                <w:bCs/>
                <w:szCs w:val="21"/>
              </w:rPr>
            </w:pPr>
            <w:r>
              <w:rPr>
                <w:rFonts w:hint="eastAsia" w:ascii="Times New Roman" w:hAnsi="Times New Roman"/>
                <w:b/>
                <w:bCs/>
                <w:szCs w:val="21"/>
              </w:rPr>
              <w:t xml:space="preserve">1.1</w:t>
            </w:r>
            <w:r>
              <w:rPr>
                <w:rFonts w:ascii="Times New Roman" w:hAnsi="Times New Roman"/>
                <w:b/>
                <w:bCs/>
                <w:szCs w:val="21"/>
              </w:rPr>
              <w:t xml:space="preserve">▲支持为科室用户提供系统学习自助式解决方案，按照高频问题、常用模块分类，支持快速定位，可以按模块划分系统功能，依据模块快速定位教程，图文结合方式展现使用教程，提供有实操性、简单易学的教程内容；（投标人须提供</w:t>
            </w:r>
            <w:r>
              <w:rPr>
                <w:rFonts w:hint="eastAsia" w:ascii="Times New Roman" w:hAnsi="Times New Roman"/>
                <w:b/>
                <w:bCs/>
                <w:szCs w:val="21"/>
                <w:lang w:val="en-US" w:eastAsia="zh-CN"/>
              </w:rPr>
              <w:t xml:space="preserve">具有CNAS或CMA标识</w:t>
            </w:r>
            <w:r>
              <w:rPr>
                <w:rFonts w:ascii="Times New Roman" w:hAnsi="Times New Roman"/>
                <w:b/>
                <w:bCs/>
                <w:szCs w:val="21"/>
              </w:rPr>
              <w:t xml:space="preserve">的第三方检测机构出具的产品功能检测报告。）</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支持搜索关键词进行全文检索；</w:t>
            </w:r>
            <w:r/>
          </w:p>
        </w:tc>
      </w:tr>
      <w:tr>
        <w:trPr/>
        <w:tc>
          <w:tcPr>
            <w:gridSpan w:val="2"/>
            <w:shd w:val="clear" w:color="auto" w:fill="d7d7d7" w:themeFill="background1" w:themeFillShade="D8"/>
            <w:tcW w:w="5000" w:type="pct"/>
            <w:vAlign w:val="center"/>
            <w:textDirection w:val="lrTb"/>
            <w:noWrap w:val="false"/>
          </w:tcPr>
          <w:p>
            <w:pPr>
              <w:rPr>
                <w:rFonts w:ascii="Times New Roman" w:hAnsi="Times New Roman"/>
                <w:szCs w:val="21"/>
              </w:rPr>
            </w:pPr>
            <w:r>
              <w:rPr>
                <w:rFonts w:ascii="Times New Roman" w:hAnsi="Times New Roman"/>
                <w:szCs w:val="21"/>
              </w:rPr>
              <w:t xml:space="preserve">质量规范控制中心</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统计中心</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日常统计：</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支持自动统计科室收治数据、入科来源数据、出科去向数据、术后转入数据、特殊治疗数据、导管使用数据、床位使用数据；</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设备统计：</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支持统计所有设备当前绑定状态；</w:t>
            </w:r>
            <w:r/>
          </w:p>
          <w:p>
            <w:pPr>
              <w:rPr>
                <w:rFonts w:ascii="Times New Roman" w:hAnsi="Times New Roman"/>
                <w:szCs w:val="21"/>
              </w:rPr>
            </w:pPr>
            <w:r>
              <w:rPr>
                <w:rFonts w:hint="eastAsia" w:ascii="Times New Roman" w:hAnsi="Times New Roman"/>
                <w:szCs w:val="21"/>
              </w:rPr>
              <w:t xml:space="preserve">2.2</w:t>
            </w:r>
            <w:r>
              <w:rPr>
                <w:rFonts w:ascii="Times New Roman" w:hAnsi="Times New Roman"/>
                <w:szCs w:val="21"/>
              </w:rPr>
              <w:t xml:space="preserve">支持统计每个患者使用设备的统计情况；</w:t>
            </w:r>
            <w:r/>
          </w:p>
          <w:p>
            <w:pPr>
              <w:rPr>
                <w:rFonts w:ascii="Times New Roman" w:hAnsi="Times New Roman"/>
                <w:szCs w:val="21"/>
              </w:rPr>
            </w:pPr>
            <w:r>
              <w:rPr>
                <w:rFonts w:hint="eastAsia" w:ascii="Times New Roman" w:hAnsi="Times New Roman"/>
                <w:szCs w:val="21"/>
              </w:rPr>
              <w:t xml:space="preserve">2.3</w:t>
            </w:r>
            <w:r>
              <w:rPr>
                <w:rFonts w:ascii="Times New Roman" w:hAnsi="Times New Roman"/>
                <w:szCs w:val="21"/>
              </w:rPr>
              <w:t xml:space="preserve">支持查看每台设备的绑定历史记录，包括每次的绑定、解绑时间、绑定患者、上机时长、解绑人、最后同步时间、报警累计等信息；</w:t>
            </w:r>
            <w:r/>
          </w:p>
          <w:p>
            <w:pPr>
              <w:rPr>
                <w:rFonts w:ascii="Times New Roman" w:hAnsi="Times New Roman"/>
                <w:szCs w:val="21"/>
              </w:rPr>
            </w:pPr>
            <w:r>
              <w:rPr>
                <w:rFonts w:hint="eastAsia" w:ascii="Times New Roman" w:hAnsi="Times New Roman"/>
                <w:szCs w:val="21"/>
              </w:rPr>
              <w:t xml:space="preserve">2.4</w:t>
            </w:r>
            <w:r>
              <w:rPr>
                <w:rFonts w:ascii="Times New Roman" w:hAnsi="Times New Roman"/>
                <w:szCs w:val="21"/>
              </w:rPr>
              <w:t xml:space="preserve">支持对绑定记录进行删除、新增和解绑；</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患者出入科统计</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3.1</w:t>
            </w:r>
            <w:r>
              <w:rPr>
                <w:rFonts w:ascii="Times New Roman" w:hAnsi="Times New Roman"/>
                <w:szCs w:val="21"/>
              </w:rPr>
              <w:t xml:space="preserve">支持以列表形式统计展示患者入科，患者出科信息，包含：患者基本信息、入科时间、入科来源、出科时间、出科去向；</w:t>
            </w:r>
            <w:r/>
          </w:p>
          <w:p>
            <w:pPr>
              <w:rPr>
                <w:rFonts w:ascii="Times New Roman" w:hAnsi="Times New Roman"/>
                <w:szCs w:val="21"/>
              </w:rPr>
            </w:pPr>
            <w:r>
              <w:rPr>
                <w:rFonts w:hint="eastAsia" w:ascii="Times New Roman" w:hAnsi="Times New Roman"/>
                <w:szCs w:val="21"/>
              </w:rPr>
              <w:t xml:space="preserve">3.2</w:t>
            </w:r>
            <w:r>
              <w:rPr>
                <w:rFonts w:ascii="Times New Roman" w:hAnsi="Times New Roman"/>
                <w:szCs w:val="21"/>
              </w:rPr>
              <w:t xml:space="preserve">支持生成患者入科和出科的统计报告，包括但不限于患者人数统计、收治统计、入科来源，入科去向等关键指标；</w:t>
            </w:r>
            <w:r/>
          </w:p>
          <w:p>
            <w:pPr>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导管每日统计</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4.1</w:t>
            </w:r>
            <w:r>
              <w:rPr>
                <w:rFonts w:ascii="Times New Roman" w:hAnsi="Times New Roman"/>
                <w:szCs w:val="21"/>
              </w:rPr>
              <w:t xml:space="preserve">支持导管日常使用情况自动汇总和统计，如胃管、鼻肠管、尿管、气管插管、气管切开、引流管等；支持提供实时更新的导管使用数据，确保医护人员能够及时掌握导管的使用状态；</w:t>
            </w:r>
            <w:r/>
          </w:p>
          <w:p>
            <w:pPr>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敏感指标统计</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5.1</w:t>
            </w:r>
            <w:r>
              <w:rPr>
                <w:rFonts w:ascii="Times New Roman" w:hAnsi="Times New Roman"/>
                <w:szCs w:val="21"/>
              </w:rPr>
              <w:t xml:space="preserve">支持对每日的护理敏感指标每日进行统计，如尿管、气管、血管内导管非计划拔管率和感染率、住院约束率、压力性损伤发生率、失禁性相关皮炎发生率、跌倒坠床发生率、糖尿病发生率等；</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质控大屏</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19项国家指标数据质控大屏：</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支持通过可视化大屏以轮循的形式展示19项国家质控数据，并且支持全屏展示；</w:t>
            </w:r>
            <w:r/>
          </w:p>
          <w:p>
            <w:pPr>
              <w:rPr>
                <w:rFonts w:ascii="Times New Roman" w:hAnsi="Times New Roman"/>
                <w:szCs w:val="21"/>
              </w:rPr>
            </w:pPr>
            <w:r>
              <w:rPr>
                <w:rFonts w:hint="eastAsia" w:ascii="Times New Roman" w:hAnsi="Times New Roman"/>
                <w:szCs w:val="21"/>
              </w:rPr>
              <w:t xml:space="preserve">1.2</w:t>
            </w:r>
            <w:r>
              <w:rPr>
                <w:rFonts w:ascii="Times New Roman" w:hAnsi="Times New Roman"/>
                <w:szCs w:val="21"/>
              </w:rPr>
              <w:t xml:space="preserve">支持每一项指标使用柱状体展示近六个月的指标数据；</w:t>
            </w:r>
            <w:r/>
          </w:p>
          <w:p>
            <w:pPr>
              <w:rPr>
                <w:rFonts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支持展示每项指标的结果指标、分子和分母；</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支持自动计算每一项指标环比增加/减少的比例；</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质控统计</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rPr>
              <w:t xml:space="preserve">1、</w:t>
            </w:r>
            <w:r>
              <w:rPr>
                <w:rFonts w:ascii="Times New Roman" w:hAnsi="Times New Roman"/>
                <w:szCs w:val="21"/>
              </w:rPr>
              <w:t xml:space="preserve">19项国家指标自动统计：</w:t>
            </w:r>
            <w:r/>
          </w:p>
          <w:p>
            <w:pPr>
              <w:rPr>
                <w:rFonts w:ascii="Times New Roman" w:hAnsi="Times New Roman"/>
                <w:szCs w:val="21"/>
              </w:rPr>
            </w:pPr>
            <w:r>
              <w:rPr>
                <w:rFonts w:hint="eastAsia" w:ascii="Times New Roman" w:hAnsi="Times New Roman"/>
                <w:szCs w:val="21"/>
              </w:rPr>
              <w:t xml:space="preserve">1.1 </w:t>
            </w:r>
            <w:r>
              <w:rPr>
                <w:rFonts w:ascii="Times New Roman" w:hAnsi="Times New Roman"/>
                <w:szCs w:val="21"/>
              </w:rPr>
              <w:t xml:space="preserve">ICU床位使用率；</w:t>
            </w:r>
            <w:r/>
          </w:p>
          <w:p>
            <w:pPr>
              <w:rPr>
                <w:rFonts w:ascii="Times New Roman" w:hAnsi="Times New Roman"/>
                <w:szCs w:val="21"/>
              </w:rPr>
            </w:pPr>
            <w:r>
              <w:rPr>
                <w:rFonts w:hint="eastAsia" w:ascii="Times New Roman" w:hAnsi="Times New Roman"/>
                <w:szCs w:val="21"/>
              </w:rPr>
              <w:t xml:space="preserve">1.2 </w:t>
            </w:r>
            <w:r>
              <w:rPr>
                <w:rFonts w:ascii="Times New Roman" w:hAnsi="Times New Roman"/>
                <w:szCs w:val="21"/>
              </w:rPr>
              <w:t xml:space="preserve">ICU医师床位比；</w:t>
            </w:r>
            <w:r/>
          </w:p>
          <w:p>
            <w:pPr>
              <w:rPr>
                <w:rFonts w:ascii="Times New Roman" w:hAnsi="Times New Roman"/>
                <w:szCs w:val="21"/>
              </w:rPr>
            </w:pPr>
            <w:r>
              <w:rPr>
                <w:rFonts w:hint="eastAsia" w:ascii="Times New Roman" w:hAnsi="Times New Roman"/>
                <w:szCs w:val="21"/>
              </w:rPr>
              <w:t xml:space="preserve">1.3 </w:t>
            </w:r>
            <w:r>
              <w:rPr>
                <w:rFonts w:ascii="Times New Roman" w:hAnsi="Times New Roman"/>
                <w:szCs w:val="21"/>
              </w:rPr>
              <w:t xml:space="preserve">ICU护士床位比；</w:t>
            </w:r>
            <w:r/>
          </w:p>
          <w:p>
            <w:pPr>
              <w:rPr>
                <w:rFonts w:ascii="Times New Roman" w:hAnsi="Times New Roman"/>
                <w:szCs w:val="21"/>
              </w:rPr>
            </w:pPr>
            <w:r>
              <w:rPr>
                <w:rFonts w:hint="eastAsia" w:ascii="Times New Roman" w:hAnsi="Times New Roman"/>
                <w:szCs w:val="21"/>
              </w:rPr>
              <w:t xml:space="preserve">1.4</w:t>
            </w:r>
            <w:r>
              <w:rPr>
                <w:rFonts w:ascii="Times New Roman" w:hAnsi="Times New Roman"/>
                <w:szCs w:val="21"/>
              </w:rPr>
              <w:t xml:space="preserve">急性生理与慢性健康评分（APACHEⅡ评分）≥15分患者收治率（入ICU最近一次）；</w:t>
            </w:r>
            <w:r/>
          </w:p>
          <w:p>
            <w:pPr>
              <w:rPr>
                <w:rFonts w:ascii="Times New Roman" w:hAnsi="Times New Roman"/>
                <w:szCs w:val="21"/>
              </w:rPr>
            </w:pPr>
            <w:r>
              <w:rPr>
                <w:rFonts w:hint="eastAsia" w:ascii="Times New Roman" w:hAnsi="Times New Roman"/>
                <w:szCs w:val="21"/>
              </w:rPr>
              <w:t xml:space="preserve">1.5</w:t>
            </w:r>
            <w:r>
              <w:rPr>
                <w:rFonts w:ascii="Times New Roman" w:hAnsi="Times New Roman"/>
                <w:szCs w:val="21"/>
              </w:rPr>
              <w:t xml:space="preserve">感染性休克患者集束化治疗（bundle）完成率（1h/3h/6h）；</w:t>
            </w:r>
            <w:r/>
          </w:p>
          <w:p>
            <w:pPr>
              <w:rPr>
                <w:rFonts w:ascii="Times New Roman" w:hAnsi="Times New Roman"/>
                <w:szCs w:val="21"/>
              </w:rPr>
            </w:pPr>
            <w:r>
              <w:rPr>
                <w:rFonts w:hint="eastAsia" w:ascii="Times New Roman" w:hAnsi="Times New Roman"/>
                <w:szCs w:val="21"/>
              </w:rPr>
              <w:t xml:space="preserve">1.6 </w:t>
            </w:r>
            <w:r>
              <w:rPr>
                <w:rFonts w:ascii="Times New Roman" w:hAnsi="Times New Roman"/>
                <w:szCs w:val="21"/>
              </w:rPr>
              <w:t xml:space="preserve">ICU抗菌药物治疗前病原学送检率；</w:t>
            </w:r>
            <w:r/>
          </w:p>
          <w:p>
            <w:pPr>
              <w:rPr>
                <w:rFonts w:ascii="Times New Roman" w:hAnsi="Times New Roman"/>
                <w:szCs w:val="21"/>
              </w:rPr>
            </w:pPr>
            <w:r>
              <w:rPr>
                <w:rFonts w:hint="eastAsia" w:ascii="Times New Roman" w:hAnsi="Times New Roman"/>
                <w:szCs w:val="21"/>
              </w:rPr>
              <w:t xml:space="preserve">1.7 </w:t>
            </w:r>
            <w:r>
              <w:rPr>
                <w:rFonts w:ascii="Times New Roman" w:hAnsi="Times New Roman"/>
                <w:szCs w:val="21"/>
              </w:rPr>
              <w:t xml:space="preserve">ICU深静脉血栓（DVT）预防率；</w:t>
            </w:r>
            <w:r/>
          </w:p>
          <w:p>
            <w:pPr>
              <w:rPr>
                <w:rFonts w:ascii="Times New Roman" w:hAnsi="Times New Roman"/>
                <w:szCs w:val="21"/>
              </w:rPr>
            </w:pPr>
            <w:r>
              <w:rPr>
                <w:rFonts w:hint="eastAsia" w:ascii="Times New Roman" w:hAnsi="Times New Roman"/>
                <w:szCs w:val="21"/>
              </w:rPr>
              <w:t xml:space="preserve">1.8</w:t>
            </w:r>
            <w:r>
              <w:rPr>
                <w:rFonts w:ascii="Times New Roman" w:hAnsi="Times New Roman"/>
                <w:szCs w:val="21"/>
              </w:rPr>
              <w:t xml:space="preserve">中重度急性呼吸窘迫综合征（ARDS）患者俯卧位通气实施率；</w:t>
            </w:r>
            <w:r/>
          </w:p>
          <w:p>
            <w:pPr>
              <w:rPr>
                <w:rFonts w:ascii="Times New Roman" w:hAnsi="Times New Roman"/>
                <w:szCs w:val="21"/>
              </w:rPr>
            </w:pPr>
            <w:r>
              <w:rPr>
                <w:rFonts w:hint="eastAsia" w:ascii="Times New Roman" w:hAnsi="Times New Roman"/>
                <w:szCs w:val="21"/>
              </w:rPr>
              <w:t xml:space="preserve">1.9 </w:t>
            </w:r>
            <w:r>
              <w:rPr>
                <w:rFonts w:ascii="Times New Roman" w:hAnsi="Times New Roman"/>
                <w:szCs w:val="21"/>
              </w:rPr>
              <w:t xml:space="preserve">ICU镇痛评估率；</w:t>
            </w:r>
            <w:r/>
          </w:p>
          <w:p>
            <w:pPr>
              <w:rPr>
                <w:rFonts w:ascii="Times New Roman" w:hAnsi="Times New Roman"/>
                <w:szCs w:val="21"/>
              </w:rPr>
            </w:pPr>
            <w:r>
              <w:rPr>
                <w:rFonts w:hint="eastAsia" w:ascii="Times New Roman" w:hAnsi="Times New Roman"/>
                <w:szCs w:val="21"/>
              </w:rPr>
              <w:t xml:space="preserve">1.10 </w:t>
            </w:r>
            <w:r>
              <w:rPr>
                <w:rFonts w:ascii="Times New Roman" w:hAnsi="Times New Roman"/>
                <w:szCs w:val="21"/>
              </w:rPr>
              <w:t xml:space="preserve">ICU镇静评估；</w:t>
            </w:r>
            <w:r/>
          </w:p>
          <w:p>
            <w:pPr>
              <w:rPr>
                <w:rFonts w:ascii="Times New Roman" w:hAnsi="Times New Roman"/>
                <w:szCs w:val="21"/>
              </w:rPr>
            </w:pPr>
            <w:r>
              <w:rPr>
                <w:rFonts w:hint="eastAsia" w:ascii="Times New Roman" w:hAnsi="Times New Roman"/>
                <w:szCs w:val="21"/>
              </w:rPr>
              <w:t xml:space="preserve">1.11 </w:t>
            </w:r>
            <w:r>
              <w:rPr>
                <w:rFonts w:ascii="Times New Roman" w:hAnsi="Times New Roman"/>
                <w:szCs w:val="21"/>
              </w:rPr>
              <w:t xml:space="preserve">ICU患者标化病死指数（StandardizedMortality Ratio）；</w:t>
            </w:r>
            <w:r/>
          </w:p>
          <w:p>
            <w:pPr>
              <w:rPr>
                <w:rFonts w:ascii="Times New Roman" w:hAnsi="Times New Roman"/>
                <w:szCs w:val="21"/>
              </w:rPr>
            </w:pPr>
            <w:r>
              <w:rPr>
                <w:rFonts w:hint="eastAsia" w:ascii="Times New Roman" w:hAnsi="Times New Roman"/>
                <w:szCs w:val="21"/>
              </w:rPr>
              <w:t xml:space="preserve">1.12 </w:t>
            </w:r>
            <w:r>
              <w:rPr>
                <w:rFonts w:ascii="Times New Roman" w:hAnsi="Times New Roman"/>
                <w:szCs w:val="21"/>
              </w:rPr>
              <w:t xml:space="preserve">ICU非计划气管插管拔管率；</w:t>
            </w:r>
            <w:r/>
          </w:p>
          <w:p>
            <w:pPr>
              <w:rPr>
                <w:rFonts w:ascii="Times New Roman" w:hAnsi="Times New Roman"/>
                <w:szCs w:val="21"/>
              </w:rPr>
            </w:pPr>
            <w:r>
              <w:rPr>
                <w:rFonts w:hint="eastAsia" w:ascii="Times New Roman" w:hAnsi="Times New Roman"/>
                <w:szCs w:val="21"/>
              </w:rPr>
              <w:t xml:space="preserve">1.13 </w:t>
            </w:r>
            <w:r>
              <w:rPr>
                <w:rFonts w:ascii="Times New Roman" w:hAnsi="Times New Roman"/>
                <w:szCs w:val="21"/>
              </w:rPr>
              <w:t xml:space="preserve">ICU气管插管拔管后48h内再插管率；</w:t>
            </w:r>
            <w:r/>
          </w:p>
          <w:p>
            <w:pPr>
              <w:rPr>
                <w:rFonts w:ascii="Times New Roman" w:hAnsi="Times New Roman"/>
                <w:szCs w:val="21"/>
              </w:rPr>
            </w:pPr>
            <w:r>
              <w:rPr>
                <w:rFonts w:hint="eastAsia" w:ascii="Times New Roman" w:hAnsi="Times New Roman"/>
                <w:szCs w:val="21"/>
              </w:rPr>
              <w:t xml:space="preserve">1.14</w:t>
            </w:r>
            <w:r>
              <w:rPr>
                <w:rFonts w:ascii="Times New Roman" w:hAnsi="Times New Roman"/>
                <w:szCs w:val="21"/>
              </w:rPr>
              <w:t xml:space="preserve">非计划转入ICU率；</w:t>
            </w:r>
            <w:r/>
          </w:p>
          <w:p>
            <w:pPr>
              <w:rPr>
                <w:rFonts w:ascii="Times New Roman" w:hAnsi="Times New Roman"/>
                <w:szCs w:val="21"/>
              </w:rPr>
            </w:pPr>
            <w:r>
              <w:rPr>
                <w:rFonts w:hint="eastAsia" w:ascii="Times New Roman" w:hAnsi="Times New Roman"/>
                <w:szCs w:val="21"/>
              </w:rPr>
              <w:t xml:space="preserve">1.15</w:t>
            </w:r>
            <w:r>
              <w:rPr>
                <w:rFonts w:ascii="Times New Roman" w:hAnsi="Times New Roman"/>
                <w:szCs w:val="21"/>
              </w:rPr>
              <w:t xml:space="preserve">转出ICU后48h内重返率；</w:t>
            </w:r>
            <w:r/>
          </w:p>
          <w:p>
            <w:pPr>
              <w:rPr>
                <w:rFonts w:ascii="Times New Roman" w:hAnsi="Times New Roman"/>
                <w:szCs w:val="21"/>
              </w:rPr>
            </w:pPr>
            <w:r>
              <w:rPr>
                <w:rFonts w:hint="eastAsia" w:ascii="Times New Roman" w:hAnsi="Times New Roman"/>
                <w:szCs w:val="21"/>
              </w:rPr>
              <w:t xml:space="preserve">1.16 </w:t>
            </w:r>
            <w:r>
              <w:rPr>
                <w:rFonts w:ascii="Times New Roman" w:hAnsi="Times New Roman"/>
                <w:szCs w:val="21"/>
              </w:rPr>
              <w:t xml:space="preserve">ICU呼吸机相关性肺炎（VAP）发病率；</w:t>
            </w:r>
            <w:r/>
          </w:p>
          <w:p>
            <w:pPr>
              <w:rPr>
                <w:rFonts w:ascii="Times New Roman" w:hAnsi="Times New Roman"/>
                <w:szCs w:val="21"/>
              </w:rPr>
            </w:pPr>
            <w:r>
              <w:rPr>
                <w:rFonts w:hint="eastAsia" w:ascii="Times New Roman" w:hAnsi="Times New Roman"/>
                <w:szCs w:val="21"/>
              </w:rPr>
              <w:t xml:space="preserve">1.17 </w:t>
            </w:r>
            <w:r>
              <w:rPr>
                <w:rFonts w:ascii="Times New Roman" w:hAnsi="Times New Roman"/>
                <w:szCs w:val="21"/>
              </w:rPr>
              <w:t xml:space="preserve">ICU血管内导管相关血流感染（CRBSI）发病率；</w:t>
            </w:r>
            <w:r/>
          </w:p>
          <w:p>
            <w:pPr>
              <w:rPr>
                <w:rFonts w:ascii="Times New Roman" w:hAnsi="Times New Roman"/>
                <w:szCs w:val="21"/>
              </w:rPr>
            </w:pPr>
            <w:r>
              <w:rPr>
                <w:rFonts w:hint="eastAsia" w:ascii="Times New Roman" w:hAnsi="Times New Roman"/>
                <w:szCs w:val="21"/>
              </w:rPr>
              <w:t xml:space="preserve">1.18 </w:t>
            </w:r>
            <w:r>
              <w:rPr>
                <w:rFonts w:ascii="Times New Roman" w:hAnsi="Times New Roman"/>
                <w:szCs w:val="21"/>
              </w:rPr>
              <w:t xml:space="preserve">ICU急性脑损伤患者意识评估率；</w:t>
            </w:r>
            <w:r/>
          </w:p>
          <w:p>
            <w:pPr>
              <w:rPr>
                <w:rFonts w:ascii="Times New Roman" w:hAnsi="Times New Roman"/>
                <w:szCs w:val="21"/>
              </w:rPr>
            </w:pPr>
            <w:r>
              <w:rPr>
                <w:rFonts w:hint="eastAsia" w:ascii="Times New Roman" w:hAnsi="Times New Roman"/>
                <w:szCs w:val="21"/>
              </w:rPr>
              <w:t xml:space="preserve">1.19 </w:t>
            </w:r>
            <w:r>
              <w:rPr>
                <w:rFonts w:ascii="Times New Roman" w:hAnsi="Times New Roman"/>
                <w:szCs w:val="21"/>
              </w:rPr>
              <w:t xml:space="preserve">48h肠内营养（EN）启动率；</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19项国家指标总览：</w:t>
            </w:r>
            <w:r/>
          </w:p>
          <w:p>
            <w:pPr>
              <w:rPr>
                <w:rFonts w:ascii="Times New Roman" w:hAnsi="Times New Roman"/>
                <w:szCs w:val="21"/>
              </w:rPr>
            </w:pPr>
            <w:r>
              <w:rPr>
                <w:rFonts w:hint="eastAsia" w:ascii="Times New Roman" w:hAnsi="Times New Roman"/>
                <w:szCs w:val="21"/>
              </w:rPr>
              <w:t xml:space="preserve">2.1</w:t>
            </w:r>
            <w:r>
              <w:rPr>
                <w:rFonts w:ascii="Times New Roman" w:hAnsi="Times New Roman"/>
                <w:szCs w:val="21"/>
              </w:rPr>
              <w:t xml:space="preserve">支持19项质控指标100%智能提取； </w:t>
            </w:r>
            <w:r/>
          </w:p>
          <w:p>
            <w:pPr>
              <w:rPr>
                <w:rFonts w:ascii="Times New Roman" w:hAnsi="Times New Roman"/>
                <w:szCs w:val="21"/>
              </w:rPr>
            </w:pPr>
            <w:r>
              <w:rPr>
                <w:rFonts w:hint="eastAsia" w:ascii="Times New Roman" w:hAnsi="Times New Roman"/>
                <w:szCs w:val="21"/>
              </w:rPr>
              <w:t xml:space="preserve">2.2</w:t>
            </w:r>
            <w:r>
              <w:rPr>
                <w:rFonts w:ascii="Times New Roman" w:hAnsi="Times New Roman"/>
                <w:szCs w:val="21"/>
              </w:rPr>
              <w:t xml:space="preserve">支持以病区、月份的形式对19项国家指标数据进行查询，并且以柱状图的形式展现至查询半年的趋势图数据；</w:t>
            </w:r>
            <w:r/>
          </w:p>
          <w:p>
            <w:pPr>
              <w:rPr>
                <w:rFonts w:ascii="Times New Roman" w:hAnsi="Times New Roman"/>
                <w:szCs w:val="21"/>
              </w:rPr>
            </w:pPr>
            <w:r>
              <w:rPr>
                <w:rFonts w:hint="eastAsia" w:ascii="Times New Roman" w:hAnsi="Times New Roman"/>
                <w:szCs w:val="21"/>
              </w:rPr>
              <w:t xml:space="preserve">2.3</w:t>
            </w:r>
            <w:r>
              <w:rPr>
                <w:rFonts w:ascii="Times New Roman" w:hAnsi="Times New Roman"/>
                <w:szCs w:val="21"/>
              </w:rPr>
              <w:t xml:space="preserve">支持查阅每个指标的计算公式、政策解读、分子统计数据、分母统计数据以及下载相关政策文件；</w:t>
            </w:r>
            <w:r/>
          </w:p>
          <w:p>
            <w:pPr>
              <w:rPr>
                <w:rFonts w:ascii="Times New Roman" w:hAnsi="Times New Roman"/>
                <w:szCs w:val="21"/>
              </w:rPr>
            </w:pPr>
            <w:r>
              <w:rPr>
                <w:rFonts w:hint="eastAsia" w:ascii="Times New Roman" w:hAnsi="Times New Roman"/>
                <w:szCs w:val="21"/>
              </w:rPr>
              <w:t xml:space="preserve">2.4</w:t>
            </w:r>
            <w:r>
              <w:rPr>
                <w:rFonts w:ascii="Times New Roman" w:hAnsi="Times New Roman"/>
                <w:szCs w:val="21"/>
              </w:rPr>
              <w:t xml:space="preserve">支持查看三级数据下钻，溯源分子分母数据明细情况，包括不限于DVT预防的医嘱、抗菌药物治疗的医嘱的药物类型、医嘱名称、开始时间、结束时间，抗菌药物送检的检验的报告名称、报告时间、有创机械通气总天数、血管内导管留置天数等； </w:t>
            </w:r>
            <w:r/>
          </w:p>
          <w:p>
            <w:pPr>
              <w:rPr>
                <w:rFonts w:ascii="Times New Roman" w:hAnsi="Times New Roman"/>
                <w:szCs w:val="21"/>
              </w:rPr>
            </w:pPr>
            <w:r>
              <w:rPr>
                <w:rFonts w:hint="eastAsia" w:ascii="Times New Roman" w:hAnsi="Times New Roman"/>
                <w:szCs w:val="21"/>
              </w:rPr>
              <w:t xml:space="preserve">2.5</w:t>
            </w:r>
            <w:r>
              <w:rPr>
                <w:rFonts w:ascii="Times New Roman" w:hAnsi="Times New Roman"/>
                <w:szCs w:val="21"/>
              </w:rPr>
              <w:t xml:space="preserve">支持人工纳排抗菌药物治疗前病原学送检、深静脉血栓（DVT）预防、ARDS患者俯卧位通气、急性脑损伤患者意识评估等多个指标；</w:t>
            </w:r>
            <w:r/>
          </w:p>
          <w:p>
            <w:pPr>
              <w:rPr>
                <w:rFonts w:ascii="Times New Roman" w:hAnsi="Times New Roman"/>
                <w:szCs w:val="21"/>
              </w:rPr>
            </w:pPr>
            <w:r>
              <w:rPr>
                <w:rFonts w:hint="eastAsia" w:ascii="Times New Roman" w:hAnsi="Times New Roman"/>
                <w:szCs w:val="21"/>
              </w:rPr>
              <w:t xml:space="preserve">2.6</w:t>
            </w:r>
            <w:r>
              <w:rPr>
                <w:rFonts w:ascii="Times New Roman" w:hAnsi="Times New Roman"/>
                <w:szCs w:val="21"/>
              </w:rPr>
              <w:t xml:space="preserve">支持以数据总览的方式查看19项国家质控指标数据且以excel格式导出总览结果和明细数据；</w:t>
            </w:r>
            <w:r/>
          </w:p>
          <w:p>
            <w:pPr>
              <w:rPr>
                <w:rFonts w:ascii="Times New Roman" w:hAnsi="Times New Roman"/>
                <w:szCs w:val="21"/>
              </w:rPr>
            </w:pPr>
            <w:r>
              <w:rPr>
                <w:rFonts w:hint="eastAsia" w:ascii="Times New Roman" w:hAnsi="Times New Roman"/>
                <w:szCs w:val="21"/>
              </w:rPr>
              <w:t xml:space="preserve">2.7</w:t>
            </w:r>
            <w:r>
              <w:rPr>
                <w:rFonts w:ascii="Times New Roman" w:hAnsi="Times New Roman"/>
                <w:szCs w:val="21"/>
              </w:rPr>
              <w:t xml:space="preserve">支持根据当地大气压智能判断ARDS危重程度；</w:t>
            </w:r>
            <w:r/>
          </w:p>
        </w:tc>
      </w:tr>
      <w:tr>
        <w:trPr/>
        <w:tc>
          <w:tcPr>
            <w:tcW w:w="681" w:type="pct"/>
            <w:vAlign w:val="center"/>
            <w:textDirection w:val="lrTb"/>
            <w:noWrap w:val="false"/>
          </w:tcPr>
          <w:p>
            <w:pPr>
              <w:rPr>
                <w:rFonts w:ascii="Times New Roman" w:hAnsi="Times New Roman"/>
                <w:szCs w:val="21"/>
              </w:rPr>
            </w:pPr>
            <w:r>
              <w:rPr>
                <w:rFonts w:ascii="Times New Roman" w:hAnsi="Times New Roman"/>
                <w:szCs w:val="21"/>
              </w:rPr>
              <w:t xml:space="preserve">一键上报</w:t>
            </w:r>
            <w:r/>
          </w:p>
        </w:tc>
        <w:tc>
          <w:tcPr>
            <w:tcW w:w="4319" w:type="pct"/>
            <w:vAlign w:val="center"/>
            <w:textDirection w:val="lrTb"/>
            <w:noWrap w:val="false"/>
          </w:tcPr>
          <w:p>
            <w:pPr>
              <w:rPr>
                <w:rFonts w:ascii="Times New Roman" w:hAnsi="Times New Roman"/>
                <w:szCs w:val="21"/>
              </w:rPr>
            </w:pPr>
            <w:r>
              <w:rPr>
                <w:rFonts w:hint="eastAsia" w:ascii="Times New Roman" w:hAnsi="Times New Roman"/>
                <w:szCs w:val="21"/>
                <w:lang w:val="en-US" w:eastAsia="zh-CN"/>
              </w:rPr>
              <w:t xml:space="preserve">1、需满足国家/省级重症质控中心数据填报要求，</w:t>
            </w:r>
            <w:r>
              <w:rPr>
                <w:rFonts w:ascii="Times New Roman" w:hAnsi="Times New Roman"/>
                <w:szCs w:val="21"/>
              </w:rPr>
              <w:t xml:space="preserve">19项国家指标数据</w:t>
            </w:r>
            <w:r>
              <w:rPr>
                <w:rFonts w:hint="eastAsia" w:ascii="Times New Roman" w:hAnsi="Times New Roman"/>
                <w:szCs w:val="21"/>
                <w:lang w:val="en-US" w:eastAsia="zh-CN"/>
              </w:rPr>
              <w:t xml:space="preserve">需能</w:t>
            </w:r>
            <w:r>
              <w:rPr>
                <w:rFonts w:ascii="Times New Roman" w:hAnsi="Times New Roman"/>
                <w:szCs w:val="21"/>
              </w:rPr>
              <w:t xml:space="preserve">一键上报：</w:t>
            </w:r>
            <w:r/>
          </w:p>
          <w:p>
            <w:pPr>
              <w:rPr>
                <w:rFonts w:ascii="Times New Roman" w:hAnsi="Times New Roman"/>
                <w:szCs w:val="21"/>
              </w:rPr>
            </w:pPr>
            <w:r>
              <w:rPr>
                <w:rFonts w:hint="eastAsia" w:ascii="Times New Roman" w:hAnsi="Times New Roman"/>
                <w:szCs w:val="21"/>
              </w:rPr>
              <w:t xml:space="preserve">1.1</w:t>
            </w:r>
            <w:r>
              <w:rPr>
                <w:rFonts w:ascii="Times New Roman" w:hAnsi="Times New Roman"/>
                <w:szCs w:val="21"/>
              </w:rPr>
              <w:t xml:space="preserve">支持按照重症质控上报中心的填报要求，提供质控数据汇总预览，支持导出到本地；</w:t>
            </w:r>
            <w:r/>
          </w:p>
          <w:p>
            <w:pPr>
              <w:rPr>
                <w:rFonts w:ascii="Times New Roman" w:hAnsi="Times New Roman"/>
                <w:b/>
                <w:bCs/>
                <w:szCs w:val="21"/>
              </w:rPr>
            </w:pPr>
            <w:r>
              <w:rPr>
                <w:rFonts w:hint="eastAsia" w:ascii="Times New Roman" w:hAnsi="Times New Roman"/>
                <w:b/>
                <w:bCs/>
                <w:szCs w:val="21"/>
              </w:rPr>
              <w:t xml:space="preserve">1.2</w:t>
            </w:r>
            <w:r>
              <w:rPr>
                <w:rFonts w:ascii="Times New Roman" w:hAnsi="Times New Roman"/>
                <w:b/>
                <w:bCs/>
                <w:szCs w:val="21"/>
              </w:rPr>
              <w:t xml:space="preserve">▲支持提供重症质控上报中心对接方式，数据直接上报；（投标人须提供由</w:t>
            </w:r>
            <w:r>
              <w:rPr>
                <w:rFonts w:hint="eastAsia" w:ascii="Times New Roman" w:hAnsi="Times New Roman"/>
                <w:b/>
                <w:bCs/>
                <w:szCs w:val="21"/>
                <w:lang w:val="en-US" w:eastAsia="zh-CN"/>
              </w:rPr>
              <w:t xml:space="preserve">具有CNAS或CMA标识</w:t>
            </w:r>
            <w:r>
              <w:rPr>
                <w:rFonts w:ascii="Times New Roman" w:hAnsi="Times New Roman"/>
                <w:b/>
                <w:bCs/>
                <w:szCs w:val="21"/>
              </w:rPr>
              <w:t xml:space="preserve">的第三方检测机构出具的产品功能检测报告。）</w:t>
            </w:r>
            <w:bookmarkEnd w:id="62"/>
            <w:r/>
            <w:r/>
          </w:p>
        </w:tc>
      </w:tr>
    </w:tbl>
    <w:p>
      <w:pPr>
        <w:spacing w:line="360" w:lineRule="auto"/>
        <w:rPr>
          <w:rFonts w:hint="eastAsia" w:ascii="宋体" w:hAnsi="宋体" w:cs="宋体"/>
          <w:b/>
          <w:szCs w:val="21"/>
        </w:rPr>
      </w:pPr>
      <w:r>
        <w:rPr>
          <w:rFonts w:hint="eastAsia" w:ascii="宋体" w:hAnsi="宋体" w:cs="宋体"/>
          <w:b/>
          <w:szCs w:val="21"/>
        </w:rPr>
      </w:r>
      <w:r/>
    </w:p>
    <w:p>
      <w:pPr>
        <w:ind w:firstLine="422"/>
        <w:spacing w:line="360" w:lineRule="auto"/>
        <w:rPr>
          <w:rFonts w:hint="eastAsia" w:ascii="宋体" w:hAnsi="宋体" w:cs="宋体"/>
          <w:b/>
          <w:szCs w:val="21"/>
        </w:rPr>
      </w:pPr>
      <w:r>
        <w:rPr>
          <w:rFonts w:hint="eastAsia" w:ascii="宋体" w:hAnsi="宋体" w:cs="宋体"/>
          <w:b/>
          <w:szCs w:val="21"/>
        </w:rPr>
        <w:t xml:space="preserve">三、项目实施要求</w:t>
      </w:r>
      <w:r/>
    </w:p>
    <w:p>
      <w:pPr>
        <w:ind w:firstLine="420"/>
        <w:spacing w:line="360" w:lineRule="auto"/>
        <w:rPr>
          <w:rFonts w:hint="eastAsia" w:ascii="宋体" w:hAnsi="宋体" w:cs="宋体"/>
          <w:bCs/>
          <w:szCs w:val="21"/>
        </w:rPr>
      </w:pPr>
      <w:r>
        <w:rPr>
          <w:rFonts w:hint="eastAsia" w:ascii="宋体" w:hAnsi="宋体" w:cs="宋体"/>
          <w:bCs/>
          <w:szCs w:val="21"/>
        </w:rPr>
        <w:t xml:space="preserve">结合医院实际情况，制定详细的系统实施方案，包括但不限于客户化修改、测试、试运行。承诺保证在合同规定时间内上线及上线系统的基本平稳。</w:t>
      </w:r>
      <w:r/>
    </w:p>
    <w:p>
      <w:pPr>
        <w:ind w:firstLine="420"/>
        <w:spacing w:line="360" w:lineRule="auto"/>
        <w:rPr>
          <w:rFonts w:hint="eastAsia" w:ascii="宋体" w:hAnsi="宋体" w:cs="宋体"/>
          <w:bCs/>
          <w:szCs w:val="21"/>
        </w:rPr>
      </w:pPr>
      <w:r>
        <w:rPr>
          <w:rFonts w:hint="eastAsia" w:ascii="宋体" w:hAnsi="宋体" w:cs="宋体"/>
          <w:bCs/>
          <w:szCs w:val="21"/>
        </w:rPr>
        <w:t xml:space="preserve">1、项目团队要求：</w:t>
      </w:r>
      <w:r>
        <w:rPr>
          <w:rFonts w:hint="eastAsia" w:ascii="宋体" w:hAnsi="宋体" w:cs="宋体"/>
          <w:szCs w:val="21"/>
        </w:rPr>
        <w:t xml:space="preserve">投标人应委派一名具有类似项目经验的负责人在现场进行项目管理与推进，保障项目顺利实施。</w:t>
      </w:r>
      <w:r/>
    </w:p>
    <w:p>
      <w:pPr>
        <w:ind w:firstLine="420"/>
        <w:spacing w:line="360" w:lineRule="auto"/>
        <w:rPr>
          <w:rFonts w:hint="eastAsia" w:ascii="宋体" w:hAnsi="宋体" w:cs="宋体"/>
          <w:bCs/>
          <w:szCs w:val="21"/>
        </w:rPr>
      </w:pPr>
      <w:r>
        <w:rPr>
          <w:rFonts w:hint="eastAsia" w:ascii="宋体" w:hAnsi="宋体" w:cs="宋体"/>
          <w:bCs/>
          <w:szCs w:val="21"/>
        </w:rPr>
        <w:t xml:space="preserve">2、实施地点：苏北人民医院</w:t>
      </w:r>
      <w:r/>
    </w:p>
    <w:p>
      <w:pPr>
        <w:ind w:firstLine="420"/>
        <w:spacing w:line="360" w:lineRule="auto"/>
        <w:rPr>
          <w:rFonts w:hint="eastAsia" w:ascii="宋体" w:hAnsi="宋体" w:cs="宋体"/>
          <w:bCs/>
          <w:i/>
          <w:iCs/>
          <w:szCs w:val="21"/>
          <w:u w:val="single"/>
        </w:rPr>
      </w:pPr>
      <w:r>
        <w:rPr>
          <w:rFonts w:hint="eastAsia" w:ascii="宋体" w:hAnsi="宋体" w:cs="宋体"/>
          <w:bCs/>
          <w:szCs w:val="21"/>
        </w:rPr>
        <w:t xml:space="preserve">3、合同履行期：</w:t>
      </w:r>
      <w:r>
        <w:rPr>
          <w:rFonts w:hint="eastAsia" w:ascii="宋体" w:hAnsi="宋体" w:cs="宋体"/>
          <w:bCs/>
          <w:i/>
          <w:iCs/>
          <w:szCs w:val="21"/>
          <w:u w:val="single"/>
        </w:rPr>
        <w:t xml:space="preserve">合同签订之日起60个工作日内（除不可抗力、非乙方原因）完成实施安装、调试、试运行、验收等工作并交付采购人使用。（提供承诺书，上传系统，承诺书格式自拟）</w:t>
      </w:r>
      <w:r/>
    </w:p>
    <w:p>
      <w:pPr>
        <w:ind w:firstLine="420"/>
        <w:spacing w:line="360" w:lineRule="auto"/>
        <w:rPr>
          <w:rFonts w:hint="eastAsia" w:ascii="宋体" w:hAnsi="宋体" w:cs="宋体"/>
          <w:bCs/>
          <w:szCs w:val="21"/>
        </w:rPr>
      </w:pPr>
      <w:r>
        <w:rPr>
          <w:rFonts w:hint="eastAsia" w:ascii="宋体" w:hAnsi="宋体" w:cs="宋体"/>
          <w:bCs/>
          <w:szCs w:val="21"/>
        </w:rPr>
        <w:t xml:space="preserve">4、实施管理</w:t>
      </w:r>
      <w:r/>
    </w:p>
    <w:p>
      <w:pPr>
        <w:ind w:firstLine="420"/>
        <w:spacing w:line="360" w:lineRule="auto"/>
        <w:rPr>
          <w:rFonts w:hint="eastAsia" w:ascii="宋体" w:hAnsi="宋体" w:cs="宋体"/>
          <w:bCs/>
          <w:szCs w:val="21"/>
        </w:rPr>
      </w:pPr>
      <w:r>
        <w:rPr>
          <w:rFonts w:hint="eastAsia" w:ascii="宋体" w:hAnsi="宋体" w:cs="宋体"/>
          <w:bCs/>
          <w:szCs w:val="21"/>
        </w:rPr>
        <w:t xml:space="preserve">投标人需制定详细的实施方案，内容包括不限于项目组织保障、项目实施计划、项目实施关键要素分析、团队人员的配备等。</w:t>
      </w:r>
      <w:r/>
    </w:p>
    <w:p>
      <w:pPr>
        <w:numPr>
          <w:ilvl w:val="0"/>
          <w:numId w:val="5"/>
        </w:numPr>
        <w:ind w:firstLine="420"/>
        <w:spacing w:line="360" w:lineRule="auto"/>
        <w:rPr>
          <w:rFonts w:hint="eastAsia" w:ascii="宋体" w:hAnsi="宋体" w:cs="宋体"/>
          <w:bCs/>
          <w:szCs w:val="21"/>
        </w:rPr>
      </w:pPr>
      <w:r>
        <w:rPr>
          <w:rFonts w:hint="eastAsia" w:ascii="宋体" w:hAnsi="宋体" w:cs="宋体"/>
          <w:bCs/>
          <w:szCs w:val="21"/>
        </w:rPr>
        <w:t xml:space="preserve">安装方案</w:t>
      </w:r>
      <w:r/>
    </w:p>
    <w:p>
      <w:pPr>
        <w:ind w:firstLine="420"/>
        <w:spacing w:line="360" w:lineRule="auto"/>
        <w:rPr>
          <w:rFonts w:hint="eastAsia" w:ascii="宋体" w:hAnsi="宋体" w:cs="宋体"/>
          <w:bCs/>
          <w:szCs w:val="21"/>
        </w:rPr>
      </w:pPr>
      <w:r>
        <w:rPr>
          <w:rFonts w:ascii="宋体" w:hAnsi="宋体" w:cs="宋体"/>
          <w:bCs/>
          <w:szCs w:val="21"/>
        </w:rPr>
        <w:t xml:space="preserve">投标人</w:t>
      </w:r>
      <w:r>
        <w:rPr>
          <w:rFonts w:hint="eastAsia" w:ascii="宋体" w:hAnsi="宋体" w:cs="宋体"/>
          <w:bCs/>
          <w:szCs w:val="21"/>
        </w:rPr>
        <w:t xml:space="preserve">需制定详细的系统安装方案，内容包括不限于</w:t>
      </w:r>
      <w:r>
        <w:rPr>
          <w:rFonts w:ascii="宋体" w:hAnsi="宋体" w:cs="宋体"/>
          <w:bCs/>
          <w:szCs w:val="21"/>
        </w:rPr>
        <w:t xml:space="preserve">系统对接</w:t>
      </w:r>
      <w:r>
        <w:rPr>
          <w:rFonts w:hint="eastAsia" w:ascii="宋体" w:hAnsi="宋体" w:cs="宋体"/>
          <w:bCs/>
          <w:szCs w:val="21"/>
        </w:rPr>
        <w:t xml:space="preserve">、</w:t>
      </w:r>
      <w:r>
        <w:rPr>
          <w:rFonts w:ascii="宋体" w:hAnsi="宋体" w:cs="宋体"/>
          <w:bCs/>
          <w:szCs w:val="21"/>
        </w:rPr>
        <w:t xml:space="preserve">设备连接方案</w:t>
      </w:r>
      <w:r>
        <w:rPr>
          <w:rFonts w:hint="eastAsia" w:ascii="宋体" w:hAnsi="宋体" w:cs="宋体"/>
          <w:bCs/>
          <w:szCs w:val="21"/>
        </w:rPr>
        <w:t xml:space="preserve">、</w:t>
      </w:r>
      <w:r>
        <w:rPr>
          <w:rFonts w:ascii="宋体" w:hAnsi="宋体" w:cs="宋体"/>
          <w:bCs/>
          <w:szCs w:val="21"/>
        </w:rPr>
        <w:t xml:space="preserve">采集服务的搭建</w:t>
      </w:r>
      <w:r>
        <w:rPr>
          <w:rFonts w:hint="eastAsia" w:ascii="宋体" w:hAnsi="宋体" w:cs="宋体"/>
          <w:bCs/>
          <w:szCs w:val="21"/>
        </w:rPr>
        <w:t xml:space="preserve">等。</w:t>
      </w:r>
      <w:r/>
    </w:p>
    <w:p>
      <w:pPr>
        <w:ind w:firstLine="420"/>
        <w:spacing w:line="360" w:lineRule="auto"/>
        <w:rPr>
          <w:rFonts w:hint="eastAsia" w:ascii="宋体" w:hAnsi="宋体" w:cs="宋体"/>
          <w:bCs/>
          <w:szCs w:val="21"/>
        </w:rPr>
      </w:pPr>
      <w:r>
        <w:rPr>
          <w:rFonts w:hint="eastAsia" w:ascii="宋体" w:hAnsi="宋体" w:cs="宋体"/>
          <w:bCs/>
          <w:szCs w:val="21"/>
        </w:rPr>
        <w:t xml:space="preserve">6、验收方案</w:t>
      </w:r>
      <w:r/>
    </w:p>
    <w:p>
      <w:pPr>
        <w:ind w:firstLine="420"/>
        <w:spacing w:line="360" w:lineRule="auto"/>
        <w:rPr>
          <w:rFonts w:hint="eastAsia" w:ascii="宋体" w:hAnsi="宋体" w:cs="宋体"/>
          <w:bCs/>
          <w:szCs w:val="21"/>
        </w:rPr>
      </w:pPr>
      <w:r>
        <w:rPr>
          <w:rFonts w:hint="eastAsia" w:ascii="宋体" w:hAnsi="宋体" w:cs="宋体"/>
          <w:bCs/>
          <w:szCs w:val="21"/>
        </w:rPr>
        <w:t xml:space="preserve">投标人需制定详细的系统调试和验收方案，内容包括不限于调试内容、方法、验收标准等。</w:t>
      </w:r>
      <w:r/>
    </w:p>
    <w:p>
      <w:pPr>
        <w:ind w:firstLine="422"/>
        <w:spacing w:line="360" w:lineRule="auto"/>
        <w:rPr>
          <w:rFonts w:hint="eastAsia" w:ascii="宋体" w:hAnsi="宋体" w:cs="宋体"/>
          <w:b/>
          <w:szCs w:val="21"/>
        </w:rPr>
      </w:pPr>
      <w:r>
        <w:rPr>
          <w:rFonts w:hint="eastAsia" w:ascii="宋体" w:hAnsi="宋体" w:cs="宋体"/>
          <w:b/>
          <w:szCs w:val="21"/>
        </w:rPr>
        <w:t xml:space="preserve">四、售后服务要求</w:t>
      </w:r>
      <w:r/>
    </w:p>
    <w:p>
      <w:pPr>
        <w:ind w:firstLine="420"/>
        <w:spacing w:line="360" w:lineRule="auto"/>
        <w:rPr>
          <w:rFonts w:hint="eastAsia" w:ascii="宋体" w:hAnsi="宋体" w:cs="宋体"/>
          <w:bCs/>
          <w:szCs w:val="21"/>
        </w:rPr>
      </w:pPr>
      <w:r>
        <w:rPr>
          <w:rFonts w:hint="eastAsia" w:ascii="宋体" w:hAnsi="宋体" w:cs="宋体"/>
          <w:bCs/>
          <w:szCs w:val="21"/>
        </w:rPr>
        <w:t xml:space="preserve">根据采购人要求提供系统售后服务方案，内容包括不限于售后服务计划、售后服务方案、应急技术处理、服务响应时间等。</w:t>
      </w:r>
      <w:r/>
    </w:p>
    <w:p>
      <w:pPr>
        <w:ind w:firstLine="420"/>
        <w:spacing w:line="360" w:lineRule="auto"/>
        <w:rPr>
          <w:rFonts w:hint="eastAsia" w:ascii="宋体" w:hAnsi="宋体" w:cs="宋体"/>
          <w:bCs/>
          <w:szCs w:val="21"/>
        </w:rPr>
      </w:pPr>
      <w:r>
        <w:rPr>
          <w:rFonts w:hint="eastAsia" w:ascii="宋体" w:hAnsi="宋体" w:cs="宋体"/>
          <w:bCs/>
          <w:szCs w:val="21"/>
        </w:rPr>
        <w:t xml:space="preserve">1、质保期</w:t>
      </w:r>
      <w:r/>
    </w:p>
    <w:p>
      <w:pPr>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本项目自验收合格之日起，投标人提供系统及其数据采集套件两年的免费功能增强性维护及免费技术维护服务（其中包括系统维护、跟踪检测）。（提供承诺书，上传系统，承诺书格式自拟）</w:t>
      </w:r>
      <w:r/>
    </w:p>
    <w:p>
      <w:pPr>
        <w:ind w:firstLine="420"/>
        <w:spacing w:line="360" w:lineRule="auto"/>
        <w:rPr>
          <w:rFonts w:hint="eastAsia" w:ascii="宋体" w:hAnsi="宋体" w:cs="宋体"/>
          <w:bCs/>
          <w:szCs w:val="21"/>
        </w:rPr>
      </w:pPr>
      <w:r>
        <w:rPr>
          <w:rFonts w:hint="eastAsia" w:ascii="宋体" w:hAnsi="宋体" w:cs="宋体"/>
          <w:bCs/>
          <w:szCs w:val="21"/>
        </w:rPr>
        <w:t xml:space="preserve">2、服务响应时间</w:t>
      </w:r>
      <w:r/>
    </w:p>
    <w:p>
      <w:pPr>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对于系统发生故障或问题时，故障响应时间为4小时内。服务期为7*24小时，并在12小时内给出解决方案，如远程不能解决问题，技术专业人员须在24小时内到现场解决问题，服务方式可远程可现场。（提供承诺书，上传系统，承诺书格式自拟）</w:t>
      </w:r>
      <w:r/>
    </w:p>
    <w:p>
      <w:pPr>
        <w:ind w:firstLine="420"/>
        <w:spacing w:line="360" w:lineRule="auto"/>
        <w:rPr>
          <w:rFonts w:hint="eastAsia" w:ascii="宋体" w:hAnsi="宋体" w:cs="宋体"/>
          <w:bCs/>
          <w:szCs w:val="21"/>
        </w:rPr>
      </w:pPr>
      <w:r>
        <w:rPr>
          <w:rFonts w:hint="eastAsia" w:ascii="宋体" w:hAnsi="宋体" w:cs="宋体"/>
          <w:bCs/>
          <w:szCs w:val="21"/>
        </w:rPr>
        <w:t xml:space="preserve">3、服务内容</w:t>
      </w:r>
      <w:r/>
    </w:p>
    <w:p>
      <w:pPr>
        <w:ind w:firstLine="420"/>
        <w:spacing w:line="360" w:lineRule="auto"/>
        <w:rPr>
          <w:rFonts w:hint="eastAsia" w:ascii="宋体" w:hAnsi="宋体" w:cs="宋体"/>
          <w:bCs/>
          <w:szCs w:val="21"/>
        </w:rPr>
      </w:pPr>
      <w:r>
        <w:rPr>
          <w:rFonts w:hint="eastAsia" w:ascii="宋体" w:hAnsi="宋体" w:cs="宋体"/>
          <w:bCs/>
          <w:szCs w:val="21"/>
        </w:rPr>
        <w:t xml:space="preserve">投标人须配合采购人根据实际运行环境和要求调整系统的性能参数，定期上门检查整套系统的运行情况，并能根据采购人系统变化情况及时调整优化。</w:t>
      </w:r>
      <w:r/>
    </w:p>
    <w:p>
      <w:pPr>
        <w:ind w:firstLine="420"/>
        <w:spacing w:line="360" w:lineRule="auto"/>
        <w:rPr>
          <w:rFonts w:hint="eastAsia" w:ascii="宋体" w:hAnsi="宋体" w:cs="宋体"/>
          <w:bCs/>
          <w:szCs w:val="21"/>
        </w:rPr>
      </w:pPr>
      <w:r>
        <w:rPr>
          <w:rFonts w:hint="eastAsia" w:ascii="宋体" w:hAnsi="宋体" w:cs="宋体"/>
          <w:bCs/>
          <w:szCs w:val="21"/>
        </w:rPr>
        <w:t xml:space="preserve">投标人须为本项目建立售后服务体系，采购人要求的设备质保期有特殊要求的应不低于特殊要求，在质保期内项目所有产品及其形成的系统性能如出现质量问题（人为除外），投标人负责无条件更换或修复。</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投标人应提供保质保量的服务，无论由于哪一方产生的问题而使系统发生不正常情况时，在得到采购人通知后，应全力协助采购人使系统尽快恢复正常。</w:t>
      </w:r>
      <w:r/>
    </w:p>
    <w:p>
      <w:pPr>
        <w:ind w:firstLine="420"/>
        <w:spacing w:line="360" w:lineRule="auto"/>
        <w:rPr>
          <w:rFonts w:hint="eastAsia" w:ascii="宋体" w:hAnsi="宋体" w:cs="宋体"/>
          <w:bCs/>
          <w:szCs w:val="21"/>
        </w:rPr>
      </w:pPr>
      <w:r>
        <w:rPr>
          <w:rFonts w:hint="eastAsia" w:ascii="宋体" w:hAnsi="宋体" w:cs="宋体"/>
          <w:bCs/>
          <w:szCs w:val="21"/>
        </w:rPr>
        <w:t xml:space="preserve">质保期内，中标人负责产品的制造商（生产者）对其提供的硬件设备、软件系统进行现场维修服务，不收取额外费用。如不能提供同种规格型号的配件，应提供相当质量、档次的配件，不补差价。在质保期内发生软、硬件故障，中标人应及时予以响应，免费上门服务。否则采购人将自行采取必要的措施，由此产生风险和费用应由中标人承担。</w:t>
      </w:r>
      <w:r/>
    </w:p>
    <w:p>
      <w:pPr>
        <w:pStyle w:val="776"/>
        <w:rPr>
          <w:b/>
        </w:rPr>
      </w:pPr>
      <w:r>
        <w:rPr>
          <w:rFonts w:hint="eastAsia" w:ascii="宋体" w:hAnsi="宋体" w:cs="宋体"/>
          <w:b/>
        </w:rPr>
        <w:t xml:space="preserve">五、培训工作要求</w:t>
      </w:r>
      <w:r/>
    </w:p>
    <w:p>
      <w:pPr>
        <w:ind w:firstLine="420"/>
        <w:spacing w:line="360" w:lineRule="auto"/>
        <w:rPr>
          <w:rFonts w:hint="eastAsia" w:ascii="宋体" w:hAnsi="宋体" w:cs="宋体"/>
          <w:bCs/>
          <w:szCs w:val="21"/>
        </w:rPr>
      </w:pPr>
      <w:r>
        <w:rPr>
          <w:rFonts w:hint="eastAsia" w:ascii="宋体" w:hAnsi="宋体" w:cs="宋体"/>
          <w:bCs/>
          <w:szCs w:val="21"/>
        </w:rPr>
        <w:t xml:space="preserve">根据采购人要求提供系统相关培训，制定详细的培训计划、培训方式、培训内容、培训人员安排等。</w:t>
      </w:r>
      <w:r/>
    </w:p>
    <w:p>
      <w:pPr>
        <w:ind w:firstLine="420"/>
        <w:spacing w:line="360" w:lineRule="auto"/>
        <w:rPr>
          <w:rFonts w:hint="eastAsia" w:ascii="宋体" w:hAnsi="宋体" w:cs="宋体"/>
          <w:bCs/>
          <w:szCs w:val="21"/>
        </w:rPr>
      </w:pPr>
      <w:r>
        <w:rPr>
          <w:rFonts w:hint="eastAsia" w:ascii="宋体" w:hAnsi="宋体" w:cs="宋体"/>
          <w:bCs/>
          <w:szCs w:val="21"/>
        </w:rPr>
        <w:t xml:space="preserve">1、培训人员应当具备相关信息系统工作的专业技能，有一定的教学经验。</w:t>
      </w:r>
      <w:r/>
    </w:p>
    <w:p>
      <w:pPr>
        <w:ind w:firstLine="420"/>
        <w:spacing w:line="360" w:lineRule="auto"/>
        <w:rPr>
          <w:rFonts w:hint="eastAsia" w:ascii="宋体" w:hAnsi="宋体" w:cs="宋体"/>
          <w:bCs/>
          <w:szCs w:val="21"/>
        </w:rPr>
      </w:pPr>
      <w:r>
        <w:rPr>
          <w:rFonts w:hint="eastAsia" w:ascii="宋体" w:hAnsi="宋体" w:cs="宋体"/>
          <w:bCs/>
          <w:szCs w:val="21"/>
        </w:rPr>
        <w:t xml:space="preserve">2、培训形式：对使用人进行集中和分散培训等多种形式。</w:t>
      </w:r>
      <w:r/>
    </w:p>
    <w:p>
      <w:pPr>
        <w:ind w:firstLine="420"/>
        <w:spacing w:line="360" w:lineRule="auto"/>
        <w:rPr>
          <w:rFonts w:hint="eastAsia" w:ascii="宋体" w:hAnsi="宋体" w:cs="宋体"/>
          <w:bCs/>
          <w:szCs w:val="21"/>
        </w:rPr>
      </w:pPr>
      <w:r>
        <w:rPr>
          <w:rFonts w:hint="eastAsia" w:ascii="宋体" w:hAnsi="宋体" w:cs="宋体"/>
          <w:bCs/>
          <w:szCs w:val="21"/>
        </w:rPr>
        <w:t xml:space="preserve">3、培训内容包含且不限于为江苏省苏北人民医院提供系统工作相关的实务、软件管理及软件日常维护、软件的日常操作及功能使用、软件管理服务系统等相关专业内容培训。</w:t>
      </w:r>
      <w:r/>
    </w:p>
    <w:p>
      <w:pPr>
        <w:ind w:firstLine="422"/>
        <w:spacing w:line="360" w:lineRule="auto"/>
        <w:rPr>
          <w:rFonts w:hint="eastAsia" w:ascii="宋体" w:hAnsi="宋体" w:cs="宋体"/>
          <w:b/>
          <w:szCs w:val="21"/>
        </w:rPr>
      </w:pPr>
      <w:r>
        <w:rPr>
          <w:rFonts w:hint="eastAsia" w:ascii="宋体" w:hAnsi="宋体" w:cs="宋体"/>
          <w:b/>
          <w:szCs w:val="21"/>
        </w:rPr>
        <w:t xml:space="preserve">六、节能产品要求</w:t>
      </w:r>
      <w:r/>
    </w:p>
    <w:p>
      <w:pPr>
        <w:ind w:firstLine="420"/>
        <w:jc w:val="left"/>
        <w:spacing w:line="360" w:lineRule="auto"/>
        <w:rPr>
          <w:rFonts w:hint="eastAsia" w:ascii="宋体" w:hAnsi="宋体" w:cs="宋体"/>
          <w:szCs w:val="21"/>
        </w:rPr>
      </w:pPr>
      <w:r>
        <w:rPr>
          <w:rFonts w:hint="eastAsia" w:ascii="宋体" w:hAnsi="宋体" w:cs="宋体"/>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并在投标文件内提供由国家确定的认证机构出具的、处于有效期之内的节能产品认证证书原件，扫描上传，否则视为无效投标。（本项目涉及强制采购范围内产品有：无）</w:t>
      </w:r>
      <w:r/>
    </w:p>
    <w:p>
      <w:r/>
      <w:bookmarkStart w:id="64" w:name="_Toc29995"/>
      <w:r>
        <w:rPr>
          <w:rFonts w:hint="eastAsia"/>
        </w:rPr>
        <w:br w:type="page" w:clear="all"/>
      </w:r>
      <w:r/>
    </w:p>
    <w:p>
      <w:pPr>
        <w:pStyle w:val="744"/>
      </w:pPr>
      <w:r>
        <w:rPr>
          <w:rFonts w:hint="eastAsia"/>
        </w:rPr>
        <w:t xml:space="preserve">第五章 评标方法及评标标准</w:t>
      </w:r>
      <w:bookmarkEnd w:id="61"/>
      <w:r/>
      <w:bookmarkEnd w:id="64"/>
      <w:r/>
      <w:r/>
    </w:p>
    <w:p>
      <w:pPr>
        <w:pStyle w:val="968"/>
        <w:ind w:firstLine="422"/>
        <w:spacing w:before="0" w:after="0"/>
        <w:rPr>
          <w:rFonts w:hint="eastAsia" w:ascii="宋体" w:hAnsi="宋体" w:cs="宋体"/>
          <w:b/>
          <w:sz w:val="21"/>
          <w:szCs w:val="21"/>
        </w:rPr>
      </w:pPr>
      <w:r>
        <w:rPr>
          <w:rFonts w:hint="eastAsia" w:ascii="宋体" w:hAnsi="宋体" w:cs="宋体"/>
          <w:b/>
          <w:sz w:val="21"/>
          <w:szCs w:val="21"/>
        </w:rPr>
        <w:t xml:space="preserve">一、评标方法</w:t>
      </w:r>
      <w:r/>
    </w:p>
    <w:p>
      <w:pPr>
        <w:pStyle w:val="968"/>
        <w:ind w:firstLine="420"/>
        <w:spacing w:before="0" w:after="0"/>
        <w:rPr>
          <w:rFonts w:hint="eastAsia" w:ascii="宋体" w:hAnsi="宋体" w:cs="宋体"/>
          <w:sz w:val="21"/>
          <w:szCs w:val="21"/>
        </w:rPr>
      </w:pPr>
      <w:r/>
      <w:bookmarkStart w:id="65" w:name="_Toc449017024"/>
      <w:r/>
      <w:bookmarkStart w:id="66" w:name="_Toc449016388"/>
      <w:r>
        <w:rPr>
          <w:rFonts w:hint="eastAsia" w:ascii="宋体" w:hAnsi="宋体" w:cs="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szCs w:val="21"/>
        </w:rPr>
      </w:pPr>
      <w:r>
        <w:rPr>
          <w:rFonts w:hint="eastAsia" w:ascii="宋体" w:hAnsi="宋体" w:cs="宋体"/>
          <w:b/>
          <w:szCs w:val="21"/>
        </w:rPr>
        <w:t xml:space="preserve">二、政府采购政策功能落实</w:t>
      </w:r>
      <w:bookmarkEnd w:id="65"/>
      <w:r/>
      <w:bookmarkEnd w:id="66"/>
      <w:r/>
      <w:r/>
    </w:p>
    <w:p>
      <w:pPr>
        <w:ind w:firstLine="420"/>
        <w:spacing w:line="360" w:lineRule="auto"/>
        <w:rPr>
          <w:rFonts w:hint="eastAsia" w:ascii="宋体" w:hAnsi="宋体" w:cs="宋体"/>
          <w:b/>
          <w:szCs w:val="21"/>
        </w:rPr>
      </w:pPr>
      <w:r>
        <w:rPr>
          <w:rFonts w:hint="eastAsia" w:ascii="宋体" w:hAnsi="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1、小微型企业价格扣除</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（1）本项目对小型和微型企业产品给予20%的扣除价格，用扣除后的价格参与评审。</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2、残疾人福利单位价格扣除</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（1）本项目对残疾人福利性单位视同小型、微型企业，给予20%的价格扣除，用扣除后的价格参与评审。</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3、监狱和戒毒企业价格扣除</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（1）本项目对监狱和戒毒企业（简称监狱企业）视同小型、微型企业，给予20%的价格扣除，用扣除后的价格参与评审。</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6、联合体各方均为小型、微型企业（残疾人福利单位、监狱企业）的，联合体享受20%价格扣除，用扣除后的价格参与评审。</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7、大中型企业向小型、微型企业分包的，分包意向协议约定小型、微型企业合同份额占到合同总金额</w:t>
      </w:r>
      <w:r>
        <w:rPr>
          <w:rFonts w:hint="eastAsia" w:ascii="宋体" w:hAnsi="宋体" w:cs="宋体"/>
          <w:sz w:val="21"/>
          <w:szCs w:val="21"/>
          <w:lang w:val="en-US" w:eastAsia="zh-CN"/>
        </w:rPr>
        <w:t xml:space="preserve">3</w:t>
      </w:r>
      <w:r>
        <w:rPr>
          <w:rFonts w:hint="eastAsia" w:ascii="宋体" w:hAnsi="宋体" w:cs="宋体"/>
          <w:sz w:val="21"/>
          <w:szCs w:val="21"/>
        </w:rPr>
        <w:t xml:space="preserve">0%以上的，给予6%的价格扣除，用扣除后的价格参与评审。</w:t>
      </w:r>
      <w:r/>
    </w:p>
    <w:p>
      <w:pPr>
        <w:pStyle w:val="968"/>
        <w:ind w:firstLine="422"/>
        <w:spacing w:before="0" w:after="0"/>
        <w:rPr>
          <w:rFonts w:hint="eastAsia" w:ascii="宋体" w:hAnsi="宋体" w:cs="宋体"/>
          <w:b/>
          <w:sz w:val="21"/>
          <w:szCs w:val="21"/>
        </w:rPr>
      </w:pPr>
      <w:r>
        <w:rPr>
          <w:rFonts w:hint="eastAsia" w:ascii="宋体" w:hAnsi="宋体" w:cs="宋体"/>
          <w:b/>
          <w:sz w:val="21"/>
          <w:szCs w:val="21"/>
        </w:rPr>
        <w:t xml:space="preserve">三、评标标准</w:t>
      </w:r>
      <w:r/>
    </w:p>
    <w:tbl>
      <w:tblPr>
        <w:tblStyle w:val="754"/>
        <w:tblpPr w:horzAnchor="page" w:tblpX="1658" w:vertAnchor="text" w:tblpY="425"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9"/>
        <w:gridCol w:w="6980"/>
      </w:tblGrid>
      <w:tr>
        <w:trPr>
          <w:trHeight w:val="507"/>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项目</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评标细则</w:t>
            </w:r>
            <w:r/>
          </w:p>
        </w:tc>
      </w:tr>
      <w:tr>
        <w:trPr>
          <w:trHeight w:val="90"/>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采用低价优先法计算，即满足招标文件要求且投标价格最低的投标报价为评标基准价，其价格分为满分。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其他投标人的价格分统一按照下列公式计算：</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投标报价得分=(评标基准价／投标报价)×30×100%，结果保留两位有效小数。</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注：评标委员会认为投标人的报价明显低于其他通过符合性审查投标人的报价，有可能影响货物或服务质量或者不能诚信履约的，且投标人不能在评标现场合理的时间内证明其报价合理性的，评标委员会有权将其作为无效投标处理。</w:t>
            </w:r>
            <w:r/>
          </w:p>
        </w:tc>
      </w:tr>
      <w:tr>
        <w:trPr>
          <w:trHeight w:val="1805"/>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技术参数</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情况</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highlight w:val="none"/>
              </w:rPr>
              <w:t xml:space="preserve">（26分）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投标人所投产品全部满足或优于第四章项目需求【技术参数要求】的，得26分。评委根据投标文件中《技术参数响应及偏离表》，结合投标文件提供的佐证材料等进行评审。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标注“</w:t>
            </w:r>
            <w:r>
              <w:rPr>
                <w:rFonts w:hint="eastAsia" w:ascii="华文宋体" w:hAnsi="华文宋体"/>
                <w:b/>
                <w:bCs/>
                <w:sz w:val="18"/>
                <w:szCs w:val="18"/>
                <w:highlight w:val="none"/>
              </w:rPr>
              <w:t xml:space="preserve">▲</w:t>
            </w:r>
            <w:r>
              <w:rPr>
                <w:rFonts w:hint="eastAsia" w:asciiTheme="minorEastAsia" w:hAnsiTheme="minorEastAsia" w:eastAsiaTheme="minorEastAsia" w:cstheme="minorEastAsia"/>
                <w:szCs w:val="21"/>
                <w:highlight w:val="none"/>
              </w:rPr>
              <w:t xml:space="preserve">”的重要技术指标（共8项），每负偏离一项、未提供或未按要求提供佐证材料的扣</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共16分</w:t>
            </w:r>
            <w:r>
              <w:rPr>
                <w:rFonts w:hint="eastAsia" w:asciiTheme="minorEastAsia" w:hAnsiTheme="minorEastAsia" w:eastAsiaTheme="minorEastAsia" w:cstheme="minorEastAsia"/>
                <w:szCs w:val="21"/>
                <w:highlight w:val="none"/>
              </w:rPr>
              <w:t xml:space="preserve">；</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不标注 “</w:t>
            </w:r>
            <w:r>
              <w:rPr>
                <w:rFonts w:hint="eastAsia" w:ascii="华文宋体" w:hAnsi="华文宋体"/>
                <w:b/>
                <w:bCs/>
                <w:sz w:val="18"/>
                <w:szCs w:val="18"/>
                <w:highlight w:val="none"/>
              </w:rPr>
              <w:t xml:space="preserve">▲</w:t>
            </w:r>
            <w:r>
              <w:rPr>
                <w:rFonts w:hint="eastAsia" w:asciiTheme="minorEastAsia" w:hAnsiTheme="minorEastAsia" w:eastAsiaTheme="minorEastAsia" w:cstheme="minorEastAsia"/>
                <w:szCs w:val="21"/>
                <w:highlight w:val="none"/>
              </w:rPr>
              <w:t xml:space="preserve">”的一般技术指标，总计负偏离项数：1~5项，扣1分，总计负偏离项数：6~10项，扣</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分，总计负偏离项数：11~15项，扣</w:t>
            </w:r>
            <w:r>
              <w:rPr>
                <w:rFonts w:hint="eastAsia" w:asciiTheme="minorEastAsia" w:hAnsiTheme="minorEastAsia" w:eastAsiaTheme="minorEastAsia" w:cstheme="minorEastAsia"/>
                <w:szCs w:val="21"/>
                <w:highlight w:val="none"/>
                <w:lang w:val="en-US" w:eastAsia="zh-CN"/>
              </w:rPr>
              <w:t xml:space="preserve">5</w:t>
            </w:r>
            <w:r>
              <w:rPr>
                <w:rFonts w:hint="eastAsia" w:asciiTheme="minorEastAsia" w:hAnsiTheme="minorEastAsia" w:eastAsiaTheme="minorEastAsia" w:cstheme="minorEastAsia"/>
                <w:szCs w:val="21"/>
                <w:highlight w:val="none"/>
              </w:rPr>
              <w:t xml:space="preserve">分，总计负偏离项数：16~20项，扣</w:t>
            </w:r>
            <w:r>
              <w:rPr>
                <w:rFonts w:hint="eastAsia" w:asciiTheme="minorEastAsia" w:hAnsiTheme="minorEastAsia" w:eastAsiaTheme="minorEastAsia" w:cstheme="minorEastAsia"/>
                <w:szCs w:val="21"/>
                <w:highlight w:val="none"/>
                <w:lang w:val="en-US" w:eastAsia="zh-CN"/>
              </w:rPr>
              <w:t xml:space="preserve">7</w:t>
            </w:r>
            <w:r>
              <w:rPr>
                <w:rFonts w:hint="eastAsia" w:asciiTheme="minorEastAsia" w:hAnsiTheme="minorEastAsia" w:eastAsiaTheme="minorEastAsia" w:cstheme="minorEastAsia"/>
                <w:szCs w:val="21"/>
                <w:highlight w:val="none"/>
              </w:rPr>
              <w:t xml:space="preserve">分，总计负偏离项数：21~25项，扣</w:t>
            </w:r>
            <w:r>
              <w:rPr>
                <w:rFonts w:hint="eastAsia" w:asciiTheme="minorEastAsia" w:hAnsiTheme="minorEastAsia" w:eastAsiaTheme="minorEastAsia" w:cstheme="minorEastAsia"/>
                <w:szCs w:val="21"/>
                <w:highlight w:val="none"/>
                <w:lang w:val="en-US" w:eastAsia="zh-CN"/>
              </w:rPr>
              <w:t xml:space="preserve">9</w:t>
            </w:r>
            <w:r>
              <w:rPr>
                <w:rFonts w:hint="eastAsia" w:asciiTheme="minorEastAsia" w:hAnsiTheme="minorEastAsia" w:eastAsiaTheme="minorEastAsia" w:cstheme="minorEastAsia"/>
                <w:szCs w:val="21"/>
                <w:highlight w:val="none"/>
              </w:rPr>
              <w:t xml:space="preserve">分，总计负偏离项数：≥26项，扣</w:t>
            </w:r>
            <w:r>
              <w:rPr>
                <w:rFonts w:hint="eastAsia" w:asciiTheme="minorEastAsia" w:hAnsiTheme="minorEastAsia" w:eastAsiaTheme="minorEastAsia" w:cstheme="minorEastAsia"/>
                <w:szCs w:val="21"/>
                <w:highlight w:val="none"/>
                <w:lang w:val="en-US" w:eastAsia="zh-CN"/>
              </w:rPr>
              <w:t xml:space="preserve">10</w:t>
            </w:r>
            <w:r>
              <w:rPr>
                <w:rFonts w:hint="eastAsia" w:asciiTheme="minorEastAsia" w:hAnsiTheme="minorEastAsia" w:eastAsiaTheme="minorEastAsia" w:cstheme="minorEastAsia"/>
                <w:szCs w:val="21"/>
                <w:highlight w:val="none"/>
              </w:rPr>
              <w:t xml:space="preserve">分，</w:t>
            </w:r>
            <w:r>
              <w:rPr>
                <w:rFonts w:hint="eastAsia" w:asciiTheme="minorEastAsia" w:hAnsiTheme="minorEastAsia" w:eastAsiaTheme="minorEastAsia" w:cstheme="minorEastAsia"/>
                <w:szCs w:val="21"/>
                <w:highlight w:val="none"/>
                <w:lang w:val="en-US" w:eastAsia="zh-CN"/>
              </w:rPr>
              <w:t xml:space="preserve">共10分</w:t>
            </w:r>
            <w:r>
              <w:rPr>
                <w:rFonts w:hint="eastAsia" w:asciiTheme="minorEastAsia" w:hAnsiTheme="minorEastAsia" w:eastAsiaTheme="minorEastAsia" w:cstheme="minorEastAsia"/>
                <w:szCs w:val="21"/>
                <w:highlight w:val="none"/>
              </w:rPr>
              <w:t xml:space="preserve">。</w:t>
            </w:r>
            <w:r/>
          </w:p>
          <w:p>
            <w:pPr>
              <w:pStyle w:val="792"/>
              <w:ind w:left="0"/>
              <w:jc w:val="left"/>
              <w:spacing w:line="288" w:lineRule="auto"/>
              <w:rPr>
                <w:rFonts w:ascii="Times New Roman" w:hAnsi="Times New Roman"/>
                <w:b/>
                <w:bCs/>
                <w:szCs w:val="21"/>
                <w:highlight w:val="none"/>
              </w:rPr>
            </w:pPr>
            <w:r>
              <w:rPr>
                <w:rFonts w:hint="eastAsia" w:ascii="Times New Roman" w:hAnsi="Times New Roman"/>
                <w:b/>
                <w:bCs/>
                <w:szCs w:val="21"/>
                <w:highlight w:val="none"/>
              </w:rPr>
              <w:t xml:space="preserve">说明：</w:t>
            </w:r>
            <w:r/>
          </w:p>
          <w:p>
            <w:pPr>
              <w:pStyle w:val="792"/>
              <w:ind w:left="0"/>
              <w:jc w:val="left"/>
              <w:spacing w:line="288" w:lineRule="auto"/>
              <w:rPr>
                <w:rFonts w:hint="eastAsia" w:ascii="宋体" w:hAnsi="宋体" w:cs="宋体"/>
                <w:b/>
                <w:bCs/>
                <w:szCs w:val="21"/>
                <w:highlight w:val="none"/>
              </w:rPr>
            </w:pPr>
            <w:r>
              <w:rPr>
                <w:rFonts w:hint="eastAsia" w:ascii="宋体" w:hAnsi="宋体" w:cs="宋体"/>
                <w:b/>
                <w:bCs/>
                <w:szCs w:val="21"/>
                <w:highlight w:val="none"/>
              </w:rPr>
              <w:t xml:space="preserve">（1）仅对小标题下明确列出的此类功能项打分，大标题（如“1、患者入科”“2、</w:t>
            </w:r>
            <w:r>
              <w:rPr>
                <w:rFonts w:hint="eastAsia" w:ascii="宋体" w:hAnsi="宋体" w:cs="宋体"/>
                <w:b/>
                <w:bCs/>
                <w:szCs w:val="21"/>
                <w:highlight w:val="none"/>
                <w:lang w:val="en-US" w:eastAsia="zh-CN"/>
              </w:rPr>
              <w:t xml:space="preserve">科室</w:t>
            </w:r>
            <w:r>
              <w:rPr>
                <w:rFonts w:hint="eastAsia" w:ascii="宋体" w:hAnsi="宋体" w:cs="宋体"/>
                <w:b/>
                <w:bCs/>
                <w:szCs w:val="21"/>
                <w:highlight w:val="none"/>
              </w:rPr>
              <w:t xml:space="preserve">总览”等概括性标题）仅为内容组织框架，不参与评分。</w:t>
            </w:r>
            <w:r/>
          </w:p>
          <w:p>
            <w:pPr>
              <w:pStyle w:val="792"/>
              <w:ind w:left="0"/>
              <w:jc w:val="left"/>
              <w:spacing w:line="288" w:lineRule="auto"/>
              <w:rPr>
                <w:rFonts w:hint="eastAsia" w:asciiTheme="minorEastAsia" w:hAnsiTheme="minorEastAsia" w:eastAsiaTheme="minorEastAsia" w:cstheme="minorEastAsia"/>
                <w:szCs w:val="21"/>
              </w:rPr>
            </w:pPr>
            <w:r>
              <w:rPr>
                <w:rFonts w:hint="eastAsia" w:ascii="宋体" w:hAnsi="宋体" w:cs="宋体"/>
                <w:b/>
                <w:bCs/>
                <w:szCs w:val="21"/>
                <w:highlight w:val="none"/>
              </w:rPr>
              <w:t xml:space="preserve">（2）对采购需求中标注“</w:t>
            </w:r>
            <w:r>
              <w:rPr>
                <w:rFonts w:hint="eastAsia" w:ascii="华文宋体" w:hAnsi="华文宋体"/>
                <w:b/>
                <w:bCs/>
                <w:sz w:val="18"/>
                <w:szCs w:val="18"/>
                <w:highlight w:val="none"/>
              </w:rPr>
              <w:t xml:space="preserve">▲</w:t>
            </w:r>
            <w:r>
              <w:rPr>
                <w:rFonts w:hint="eastAsia" w:ascii="宋体" w:hAnsi="宋体" w:cs="宋体"/>
                <w:b/>
                <w:bCs/>
                <w:szCs w:val="21"/>
                <w:highlight w:val="none"/>
              </w:rPr>
              <w:t xml:space="preserve">”的重要指标，应按指标末括号内要求提供证明材料并在《技术参数响应及偏离表》应答。不带“</w:t>
            </w:r>
            <w:r>
              <w:rPr>
                <w:rFonts w:hint="eastAsia" w:ascii="华文宋体" w:hAnsi="华文宋体"/>
                <w:b/>
                <w:bCs/>
                <w:sz w:val="18"/>
                <w:szCs w:val="18"/>
                <w:highlight w:val="none"/>
              </w:rPr>
              <w:t xml:space="preserve">▲</w:t>
            </w:r>
            <w:r>
              <w:rPr>
                <w:rFonts w:hint="eastAsia" w:ascii="宋体" w:hAnsi="宋体" w:cs="宋体"/>
                <w:b/>
                <w:bCs/>
                <w:szCs w:val="21"/>
                <w:highlight w:val="none"/>
              </w:rPr>
              <w:t xml:space="preserve">”的技术指标偏离情况以《技术参数响应及偏离表》为准。</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实施方案</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根据项目需求制定整体实施方案安装方案、验收方案，评委依据方案的专业性和完善度进行综合评分。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完整覆盖实施、安装、验收全流程，各环节要素齐全（目标、流程、资源、风险等）；技术路线科学合规，贴合项目需求（如定制化解决特殊场景问题）；逻辑严密无漏洞，环节衔接顺畅；描述极详细（含关键参数、标准引用、图表指引），可操作性强（责任/时间/资源明确，风险预案具体）得10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覆盖主要流程，核心要素基本齐全（仅个别非关键环节简化）；技术路线符合行业常规，适配项目需求；逻辑较严谨，偶有小疏漏但不影响推进；描述较详细（关键参数/标准明确，图表够用）；可操作性较好（责任/资源清晰，风险有原则性应对）得7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流程基本覆盖但部分环节笼统（如验收仅列“功能测试”）；技术路线大体可行但合理性待验证；逻辑基本通顺，存在小矛盾（如实施与安装输出衔接偏差）；描述一般（参数/标准部分模糊，图表较少）；可操作性较弱（资源/时间模糊，风险识别不足）得4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流程覆盖不全（如缺安装调试或验收测试项）；技术路线存在不合理；逻辑疏漏明显（如实施未留缓冲期致延误）；描述欠缺（无关键参数/标准，辅助说明少）；可操作性差（责任/资源缺失，风险高）得2分；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方案具有明显不合理项、描述欠缺、存在实施难度得1分；</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售后服务方案</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根据本项目需求制定详细的售后服务计划、售后服务方案、应急技术处理等内容，评委依据方案的专业性和完善度进行综合评分。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完整覆盖售后服务计划、方案及应急技术处理，内容专业合规；流程闭环（问题受理-处理-反馈-改进），资源（人员</w:t>
            </w:r>
            <w:r>
              <w:rPr>
                <w:rFonts w:hint="eastAsia" w:asciiTheme="minorEastAsia" w:hAnsiTheme="minorEastAsia" w:eastAsiaTheme="minorEastAsia" w:cstheme="minorEastAsia"/>
                <w:szCs w:val="21"/>
                <w:lang w:val="en-US" w:eastAsia="zh-CN"/>
              </w:rPr>
              <w:t xml:space="preserve">响应</w:t>
            </w:r>
            <w:r>
              <w:rPr>
                <w:rFonts w:hint="eastAsia" w:asciiTheme="minorEastAsia" w:hAnsiTheme="minorEastAsia" w:eastAsiaTheme="minorEastAsia" w:cstheme="minorEastAsia"/>
                <w:szCs w:val="21"/>
              </w:rPr>
              <w:t xml:space="preserve">）和时间节点明确；应急处理预案可落地，无执行漏洞得10分；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覆盖主要环节（计划/方案/应急处理核心内容），基本符合行业标准；流程较闭环（主要环节无缺失），资源（人员）和时间节点较清晰；应急处理有基础预案（故障分类明确），可操作性较强得7分；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部分内容缺失（如缺应急处理流程或服务标准）；专业性一般；流程存在漏洞（如问题反馈与处理脱节）；资源（人员/工具）描述模糊，执行依赖经验补充得4分；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关键内容缺失（如无应急处理预案或服务计划仅为框架）；专业性不足；流程混乱（如故障分级标准缺失导致处理优先级不清）；资源（人员）未明确，实施风险高得2分；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方案具有明显不合理项、描述欠缺、存在实施难度得1分；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培训服务</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w:t>
            </w:r>
            <w:r/>
          </w:p>
          <w:p>
            <w:pPr>
              <w:pStyle w:val="755"/>
              <w:ind w:left="0"/>
              <w:jc w:val="cente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根据本项目需求制定详细的培训方案，包括但不限于培训计划、培训内容、</w:t>
            </w:r>
            <w:r>
              <w:rPr>
                <w:rFonts w:hint="eastAsia" w:ascii="宋体" w:hAnsi="宋体" w:cs="宋体"/>
                <w:b/>
                <w:bCs/>
                <w:szCs w:val="21"/>
              </w:rPr>
              <w:t xml:space="preserve">培训方式</w:t>
            </w:r>
            <w:r>
              <w:rPr>
                <w:rFonts w:hint="eastAsia" w:asciiTheme="minorEastAsia" w:hAnsiTheme="minorEastAsia" w:eastAsiaTheme="minorEastAsia" w:cstheme="minorEastAsia"/>
                <w:b/>
                <w:bCs/>
                <w:szCs w:val="21"/>
              </w:rPr>
              <w:t xml:space="preserve">等内容，评委依据方案的专业性和完善度进行综合评分。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完整覆盖培训计划（时间/阶段/频次）、内容（贴合项目技能需求，含理论与实操）、方式（面授/线上/实操结合）；含效果评估（考核标准/跟踪机制）；专业合规，无执行漏洞得10分；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覆盖核心要素（计划/内容/方式），基本匹配项目需求；有简单评估（如测试）；流程较闭环，可操作性较强得7分；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部分内容缺失（如缺培训频次或评估环节）；内容泛化（未结合项目特需）；流程存在疏漏（如无实操安排），</w:t>
            </w:r>
            <w:r>
              <w:rPr>
                <w:rFonts w:hint="eastAsia" w:asciiTheme="minorEastAsia" w:hAnsiTheme="minorEastAsia" w:eastAsiaTheme="minorEastAsia" w:cstheme="minorEastAsia"/>
                <w:szCs w:val="21"/>
                <w:lang w:val="en-US" w:eastAsia="zh-CN"/>
              </w:rPr>
              <w:t xml:space="preserve">可操作性一般</w:t>
            </w:r>
            <w:r>
              <w:rPr>
                <w:rFonts w:hint="eastAsia" w:asciiTheme="minorEastAsia" w:hAnsiTheme="minorEastAsia" w:eastAsiaTheme="minorEastAsia" w:cstheme="minorEastAsia"/>
                <w:szCs w:val="21"/>
              </w:rPr>
              <w:t xml:space="preserve">得4分；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关键内容缺失（如无培训计划或内容仅为“理论讲解”）；专业性不足（内容脱离项目需求）</w:t>
            </w:r>
            <w:r>
              <w:rPr>
                <w:rFonts w:hint="eastAsia" w:asciiTheme="minorEastAsia" w:hAnsiTheme="minorEastAsia" w:eastAsiaTheme="minorEastAsia" w:cstheme="minorEastAsia"/>
                <w:szCs w:val="21"/>
                <w:lang w:eastAsia="zh-CN"/>
              </w:rPr>
              <w:t xml:space="preserve">，</w:t>
            </w:r>
            <w:r>
              <w:rPr>
                <w:rFonts w:hint="eastAsia" w:asciiTheme="minorEastAsia" w:hAnsiTheme="minorEastAsia" w:eastAsiaTheme="minorEastAsia" w:cstheme="minorEastAsia"/>
                <w:szCs w:val="21"/>
              </w:rPr>
              <w:t xml:space="preserve">存在一定的实施难度得2分；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方案具有明显不合理项、描述欠缺、存在实施难度得1分；</w:t>
            </w:r>
            <w:r/>
          </w:p>
          <w:p>
            <w:pPr>
              <w:pStyle w:val="755"/>
              <w:ind w:left="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未提供方案的不得分。</w:t>
            </w:r>
            <w:r/>
          </w:p>
        </w:tc>
      </w:tr>
      <w:tr>
        <w:trPr>
          <w:trHeight w:val="416"/>
        </w:trPr>
        <w:tc>
          <w:tcPr>
            <w:tcBorders>
              <w:top w:val="single" w:color="000000" w:sz="4" w:space="0"/>
              <w:left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企业实力</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numPr>
                <w:ilvl w:val="0"/>
                <w:numId w:val="0"/>
              </w:numPr>
              <w:spacing w:line="360" w:lineRule="auto"/>
              <w:rPr>
                <w:rFonts w:hint="eastAsia" w:asciiTheme="minorEastAsia" w:hAnsiTheme="minorEastAsia" w:eastAsiaTheme="minorEastAsia" w:cstheme="minorEastAsia"/>
                <w:b/>
                <w:bCs/>
                <w:szCs w:val="21"/>
                <w:highlight w:val="none"/>
              </w:rPr>
            </w:pPr>
            <w:r>
              <w:rPr>
                <w:rFonts w:hint="default" w:asciiTheme="minorEastAsia" w:hAnsiTheme="minorEastAsia" w:eastAsiaTheme="minorEastAsia" w:cstheme="minorEastAsia"/>
                <w:b w:val="0"/>
                <w:bCs w:val="0"/>
                <w:sz w:val="21"/>
                <w:szCs w:val="21"/>
                <w:lang w:val="en-US" w:eastAsia="zh-CN" w:bidi="ar-SA"/>
              </w:rPr>
              <w:t xml:space="preserve">（1）</w:t>
            </w:r>
            <w:r>
              <w:rPr>
                <w:rFonts w:hint="eastAsia" w:asciiTheme="minorEastAsia" w:hAnsiTheme="minorEastAsia" w:eastAsiaTheme="minorEastAsia" w:cstheme="minorEastAsia"/>
                <w:szCs w:val="21"/>
                <w:highlight w:val="none"/>
              </w:rPr>
              <w:t xml:space="preserve">投标人或所投产品制造商具有有效的信息安全管理体系认证证书、隐私管理体系认证证书、信息安全运维服务资质认证证书、信息技术服务</w:t>
            </w:r>
            <w:r>
              <w:rPr>
                <w:rFonts w:hint="eastAsia" w:asciiTheme="minorEastAsia" w:hAnsiTheme="minorEastAsia" w:eastAsiaTheme="minorEastAsia" w:cstheme="minorEastAsia"/>
                <w:szCs w:val="21"/>
                <w:highlight w:val="none"/>
                <w:lang w:val="en-US" w:eastAsia="zh-CN"/>
              </w:rPr>
              <w:t xml:space="preserve">管理体系认证</w:t>
            </w:r>
            <w:r>
              <w:rPr>
                <w:rFonts w:hint="eastAsia" w:asciiTheme="minorEastAsia" w:hAnsiTheme="minorEastAsia" w:eastAsiaTheme="minorEastAsia" w:cstheme="minorEastAsia"/>
                <w:szCs w:val="21"/>
                <w:highlight w:val="none"/>
              </w:rPr>
              <w:t xml:space="preserve">证书的，每提供一份得1分，满分4分；</w:t>
            </w:r>
            <w:r>
              <w:rPr>
                <w:rFonts w:hint="eastAsia" w:asciiTheme="minorEastAsia" w:hAnsiTheme="minorEastAsia" w:eastAsiaTheme="minorEastAsia" w:cstheme="minorEastAsia"/>
                <w:b/>
                <w:bCs/>
                <w:szCs w:val="21"/>
                <w:highlight w:val="none"/>
              </w:rPr>
              <w:t xml:space="preserve">提供有效证书扫描件系统上传，未提供不得分</w:t>
            </w:r>
            <w:r/>
          </w:p>
          <w:p>
            <w:pPr>
              <w:numPr>
                <w:ilvl w:val="0"/>
                <w:numId w:val="0"/>
              </w:numPr>
              <w:spacing w:line="360" w:lineRule="auto"/>
              <w:rPr>
                <w:highlight w:val="yellow"/>
              </w:rPr>
            </w:pPr>
            <w:r>
              <w:rPr>
                <w:rFonts w:hint="default" w:asciiTheme="minorEastAsia" w:hAnsiTheme="minorEastAsia" w:eastAsiaTheme="minorEastAsia" w:cstheme="minorEastAsia"/>
                <w:b w:val="0"/>
                <w:bCs w:val="0"/>
                <w:sz w:val="21"/>
                <w:szCs w:val="21"/>
                <w:lang w:val="en-US" w:eastAsia="zh-CN" w:bidi="ar-SA"/>
              </w:rPr>
              <w:t xml:space="preserve">（2）</w:t>
            </w:r>
            <w:r>
              <w:rPr>
                <w:rFonts w:hint="eastAsia" w:asciiTheme="minorEastAsia" w:hAnsiTheme="minorEastAsia" w:eastAsiaTheme="minorEastAsia" w:cstheme="minorEastAsia"/>
                <w:szCs w:val="21"/>
                <w:highlight w:val="none"/>
              </w:rPr>
              <w:t xml:space="preserve">投标人或所投产品制造商具有重症质控管理类、重症资源管理类、呼吸支持设备管理类等与本项目实施内容相关的计算机软件著作权登记证书的，每提供一个得1分，满分3分。</w:t>
            </w:r>
            <w:r>
              <w:rPr>
                <w:rFonts w:hint="eastAsia" w:asciiTheme="minorEastAsia" w:hAnsiTheme="minorEastAsia" w:eastAsiaTheme="minorEastAsia" w:cstheme="minorEastAsia"/>
                <w:b/>
                <w:bCs/>
                <w:szCs w:val="21"/>
                <w:highlight w:val="none"/>
              </w:rPr>
              <w:t xml:space="preserve">提供有效证书扫描件系统上传，未提供不得分</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类似业绩</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pStyle w:val="758"/>
              <w:spacing w:line="360" w:lineRule="auto"/>
              <w:rPr>
                <w:rFonts w:hint="eastAsia" w:asciiTheme="minorEastAsia" w:hAnsiTheme="minorEastAsia" w:eastAsiaTheme="minorEastAsia" w:cstheme="minorEastAsia"/>
                <w:szCs w:val="21"/>
                <w:highlight w:val="none"/>
              </w:rPr>
            </w:pPr>
            <w:r>
              <w:rPr>
                <w:rFonts w:hint="default" w:asciiTheme="minorEastAsia" w:hAnsiTheme="minorEastAsia" w:eastAsiaTheme="minorEastAsia" w:cstheme="minorEastAsia"/>
                <w:b w:val="0"/>
                <w:bCs w:val="0"/>
                <w:sz w:val="21"/>
                <w:szCs w:val="21"/>
                <w:lang w:val="en-US" w:eastAsia="zh-CN" w:bidi="ar-SA"/>
              </w:rPr>
              <w:t xml:space="preserve">（1）</w:t>
            </w:r>
            <w:r>
              <w:rPr>
                <w:rFonts w:hint="eastAsia" w:asciiTheme="minorEastAsia" w:hAnsiTheme="minorEastAsia" w:eastAsiaTheme="minorEastAsia" w:cstheme="minorEastAsia"/>
                <w:szCs w:val="21"/>
                <w:highlight w:val="none"/>
              </w:rPr>
              <w:t xml:space="preserve">自2021年1月1日以来(以合同签订时间准)，投标人</w:t>
            </w:r>
            <w:r>
              <w:rPr>
                <w:rFonts w:hint="eastAsia" w:asciiTheme="minorEastAsia" w:hAnsiTheme="minorEastAsia" w:eastAsiaTheme="minorEastAsia" w:cstheme="minorEastAsia"/>
                <w:szCs w:val="21"/>
                <w:highlight w:val="none"/>
                <w:lang w:val="en-US" w:eastAsia="zh-CN"/>
              </w:rPr>
              <w:t xml:space="preserve">或</w:t>
            </w:r>
            <w:r>
              <w:rPr>
                <w:rFonts w:hint="eastAsia" w:asciiTheme="minorEastAsia" w:hAnsiTheme="minorEastAsia" w:eastAsiaTheme="minorEastAsia" w:cstheme="minorEastAsia"/>
                <w:szCs w:val="21"/>
                <w:highlight w:val="none"/>
              </w:rPr>
              <w:t xml:space="preserve">所投产品制造商具备过电子病历六级的类似项目业绩合同，每提供一个，得2分，满分4分。</w:t>
            </w:r>
            <w:r/>
          </w:p>
          <w:p>
            <w:pPr>
              <w:pStyle w:val="758"/>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（提供合同扫描件系统上传，合同要素至少包含签订时间、合同双方名称、合同内容、合同总价；电子病历六级评审通过的证明材料，材料不完整或者内容不清晰无法辨认或提供不全不得分）</w:t>
            </w:r>
            <w:r/>
          </w:p>
          <w:p>
            <w:pPr>
              <w:pStyle w:val="758"/>
              <w:spacing w:line="360" w:lineRule="auto"/>
              <w:rPr>
                <w:rFonts w:hint="default" w:asciiTheme="minorEastAsia" w:hAnsiTheme="minorEastAsia" w:eastAsiaTheme="minorEastAsia" w:cstheme="minorEastAsia"/>
                <w:szCs w:val="21"/>
                <w:lang w:val="en-US" w:eastAsia="zh-CN"/>
              </w:rPr>
            </w:pPr>
            <w:r>
              <w:rPr>
                <w:rFonts w:hint="default" w:asciiTheme="minorEastAsia" w:hAnsiTheme="minorEastAsia" w:eastAsiaTheme="minorEastAsia" w:cstheme="minorEastAsia"/>
                <w:b w:val="0"/>
                <w:bCs w:val="0"/>
                <w:sz w:val="21"/>
                <w:szCs w:val="21"/>
                <w:lang w:val="en-US" w:eastAsia="zh-CN" w:bidi="ar-SA"/>
              </w:rPr>
              <w:t xml:space="preserve">（</w:t>
            </w:r>
            <w:r>
              <w:rPr>
                <w:rFonts w:hint="eastAsia" w:asciiTheme="minorEastAsia" w:hAnsiTheme="minorEastAsia" w:eastAsiaTheme="minorEastAsia" w:cstheme="minorEastAsia"/>
                <w:b w:val="0"/>
                <w:bCs w:val="0"/>
                <w:sz w:val="21"/>
                <w:szCs w:val="21"/>
                <w:lang w:val="en-US" w:eastAsia="zh-CN" w:bidi="ar-SA"/>
              </w:rPr>
              <w:t xml:space="preserve">2</w:t>
            </w:r>
            <w:r>
              <w:rPr>
                <w:rFonts w:hint="default" w:asciiTheme="minorEastAsia" w:hAnsiTheme="minorEastAsia" w:eastAsiaTheme="minorEastAsia" w:cstheme="minorEastAsia"/>
                <w:b w:val="0"/>
                <w:bCs w:val="0"/>
                <w:sz w:val="21"/>
                <w:szCs w:val="21"/>
                <w:lang w:val="en-US" w:eastAsia="zh-CN" w:bidi="ar-SA"/>
              </w:rPr>
              <w:t xml:space="preserve">）</w:t>
            </w:r>
            <w:r>
              <w:rPr>
                <w:rFonts w:hint="eastAsia" w:asciiTheme="minorEastAsia" w:hAnsiTheme="minorEastAsia" w:eastAsiaTheme="minorEastAsia" w:cstheme="minorEastAsia"/>
                <w:szCs w:val="21"/>
                <w:highlight w:val="none"/>
              </w:rPr>
              <w:t xml:space="preserve">投标人或所投产品制造商具有与国家/省级质控中心或其挂靠单位有建设或对接经验的，每提供一个，得1分，满分3分；</w:t>
            </w:r>
            <w:r>
              <w:rPr>
                <w:rFonts w:hint="eastAsia" w:asciiTheme="minorEastAsia" w:hAnsiTheme="minorEastAsia" w:eastAsiaTheme="minorEastAsia" w:cstheme="minorEastAsia"/>
                <w:b/>
                <w:bCs/>
                <w:szCs w:val="21"/>
                <w:highlight w:val="none"/>
              </w:rPr>
              <w:t xml:space="preserve">提供</w:t>
            </w:r>
            <w:r>
              <w:rPr>
                <w:rFonts w:hint="eastAsia" w:asciiTheme="minorEastAsia" w:hAnsiTheme="minorEastAsia" w:eastAsiaTheme="minorEastAsia" w:cstheme="minorEastAsia"/>
                <w:b/>
                <w:bCs/>
                <w:szCs w:val="21"/>
                <w:highlight w:val="none"/>
                <w:lang w:val="en-US" w:eastAsia="zh-CN"/>
              </w:rPr>
              <w:t xml:space="preserve">业主</w:t>
            </w:r>
            <w:r>
              <w:rPr>
                <w:rFonts w:hint="eastAsia" w:asciiTheme="minorEastAsia" w:hAnsiTheme="minorEastAsia" w:eastAsiaTheme="minorEastAsia" w:cstheme="minorEastAsia"/>
                <w:b/>
                <w:bCs/>
                <w:szCs w:val="21"/>
                <w:lang w:val="en-US" w:eastAsia="zh-CN"/>
              </w:rPr>
              <w:t xml:space="preserve">单位属于国家/省级质控中心或其挂靠单位的证明材料、与业主单位的</w:t>
            </w:r>
            <w:r>
              <w:rPr>
                <w:rFonts w:hint="eastAsia" w:asciiTheme="minorEastAsia" w:hAnsiTheme="minorEastAsia" w:eastAsiaTheme="minorEastAsia" w:cstheme="minorEastAsia"/>
                <w:b/>
                <w:bCs/>
                <w:szCs w:val="21"/>
              </w:rPr>
              <w:t xml:space="preserve">合作协议或合同扫描件系统上传，未提供</w:t>
            </w:r>
            <w:r>
              <w:rPr>
                <w:rFonts w:hint="eastAsia" w:asciiTheme="minorEastAsia" w:hAnsiTheme="minorEastAsia" w:eastAsiaTheme="minorEastAsia" w:cstheme="minorEastAsia"/>
                <w:b/>
                <w:bCs/>
                <w:szCs w:val="21"/>
                <w:lang w:val="en-US" w:eastAsia="zh-CN"/>
              </w:rPr>
              <w:t xml:space="preserve">或提供不全或无法识别的</w:t>
            </w:r>
            <w:r>
              <w:rPr>
                <w:rFonts w:hint="eastAsia" w:asciiTheme="minorEastAsia" w:hAnsiTheme="minorEastAsia" w:eastAsiaTheme="minorEastAsia" w:cstheme="minorEastAsia"/>
                <w:b/>
                <w:bCs/>
                <w:szCs w:val="21"/>
              </w:rPr>
              <w:t xml:space="preserve">不得分</w:t>
            </w:r>
            <w:r>
              <w:rPr>
                <w:rFonts w:hint="eastAsia" w:asciiTheme="minorEastAsia" w:hAnsiTheme="minorEastAsia" w:eastAsiaTheme="minorEastAsia" w:cstheme="minorEastAsia"/>
                <w:b/>
                <w:bCs/>
                <w:szCs w:val="21"/>
                <w:lang w:eastAsia="zh-CN"/>
              </w:rPr>
              <w:t xml:space="preserve">。</w:t>
            </w:r>
            <w:r>
              <w:rPr>
                <w:rFonts w:hint="eastAsia" w:asciiTheme="minorEastAsia" w:hAnsiTheme="minorEastAsia" w:eastAsiaTheme="minorEastAsia" w:cstheme="minorEastAsia"/>
                <w:b/>
                <w:bCs/>
                <w:szCs w:val="21"/>
                <w:lang w:val="en-US" w:eastAsia="zh-CN"/>
              </w:rPr>
              <w:t xml:space="preserve">同一业主单位不重复计分。</w:t>
            </w:r>
            <w:r/>
          </w:p>
        </w:tc>
      </w:tr>
    </w:tbl>
    <w:p>
      <w:pPr>
        <w:ind w:firstLine="422"/>
        <w:spacing w:line="360" w:lineRule="auto"/>
        <w:rPr>
          <w:rFonts w:hint="eastAsia" w:ascii="宋体" w:hAnsi="宋体" w:cs="宋体"/>
          <w:b/>
          <w:szCs w:val="21"/>
        </w:rPr>
      </w:pPr>
      <w:r/>
      <w:bookmarkStart w:id="67" w:name="_Toc18779"/>
      <w:r>
        <w:rPr>
          <w:rFonts w:hint="eastAsia" w:ascii="宋体" w:hAnsi="宋体" w:cs="宋体"/>
          <w:b/>
          <w:szCs w:val="21"/>
        </w:rPr>
        <w:t xml:space="preserve">异常低价投标（响应）</w:t>
      </w:r>
      <w:r/>
    </w:p>
    <w:p>
      <w:pPr>
        <w:ind w:firstLine="422"/>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lang w:eastAsia="zh-CN"/>
        </w:rPr>
        <w:t xml:space="preserve">.</w:t>
      </w:r>
      <w:r>
        <w:rPr>
          <w:rFonts w:hint="eastAsia" w:ascii="宋体" w:hAnsi="宋体" w:cs="宋体"/>
          <w:b/>
          <w:szCs w:val="21"/>
        </w:rPr>
        <w:t xml:space="preserve">投标（响应）报价低于采购项目预算50%的，即投标（响应）报价&lt;采购项目预算×50%；</w:t>
      </w:r>
      <w:r/>
    </w:p>
    <w:p>
      <w:pPr>
        <w:ind w:firstLine="422"/>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lang w:eastAsia="zh-CN"/>
        </w:rPr>
        <w:t xml:space="preserve">.</w:t>
      </w:r>
      <w:r>
        <w:rPr>
          <w:rFonts w:hint="eastAsia" w:ascii="宋体" w:hAnsi="宋体" w:cs="宋体"/>
          <w:b/>
          <w:szCs w:val="21"/>
        </w:rPr>
        <w:t xml:space="preserve">投标（响应）报价低于采购项目最高限价45%的，即投标（响应）报价&lt;采购项目最高限价×45%；</w:t>
      </w:r>
      <w:r/>
    </w:p>
    <w:p>
      <w:pPr>
        <w:ind w:firstLine="422"/>
        <w:spacing w:line="360" w:lineRule="auto"/>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lang w:eastAsia="zh-CN"/>
        </w:rPr>
        <w:t xml:space="preserve">.</w:t>
      </w:r>
      <w:r>
        <w:rPr>
          <w:rFonts w:hint="eastAsia" w:ascii="宋体" w:hAnsi="宋体" w:cs="宋体"/>
          <w:b/>
          <w:szCs w:val="21"/>
        </w:rPr>
        <w:t xml:space="preserve">评审委员会认定的供应商报价过低、有可能影响产品质量或者不能诚信履约的其他情形。</w:t>
      </w:r>
      <w:r/>
    </w:p>
    <w:p>
      <w:pPr>
        <w:ind w:firstLine="422"/>
        <w:spacing w:line="360" w:lineRule="auto"/>
        <w:rPr>
          <w:rFonts w:hint="eastAsia" w:ascii="宋体" w:hAnsi="宋体" w:cs="宋体"/>
          <w:bCs/>
          <w:szCs w:val="21"/>
        </w:rPr>
      </w:pPr>
      <w:r>
        <w:rPr>
          <w:rFonts w:hint="eastAsia" w:ascii="宋体" w:hAnsi="宋体" w:cs="宋体"/>
          <w:b/>
          <w:szCs w:val="21"/>
        </w:rPr>
        <w:t xml:space="preserve">4</w:t>
      </w:r>
      <w:r>
        <w:rPr>
          <w:rFonts w:hint="eastAsia" w:ascii="宋体" w:hAnsi="宋体" w:cs="宋体"/>
          <w:b/>
          <w:szCs w:val="21"/>
          <w:lang w:eastAsia="zh-CN"/>
        </w:rPr>
        <w:t xml:space="preserve">.</w:t>
      </w:r>
      <w:bookmarkStart w:id="100" w:name="_GoBack"/>
      <w:r/>
      <w:bookmarkEnd w:id="100"/>
      <w:r>
        <w:rPr>
          <w:rFonts w:hint="eastAsia" w:ascii="宋体" w:hAnsi="宋体" w:cs="宋体"/>
          <w:b/>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44"/>
      </w:pPr>
      <w:r/>
      <w:r/>
    </w:p>
    <w:p>
      <w:r>
        <w:rPr>
          <w:rFonts w:hint="eastAsia"/>
        </w:rPr>
        <w:br w:type="page" w:clear="all"/>
      </w:r>
      <w:r/>
    </w:p>
    <w:p>
      <w:pPr>
        <w:pStyle w:val="744"/>
      </w:pPr>
      <w:r>
        <w:rPr>
          <w:rFonts w:hint="eastAsia"/>
        </w:rPr>
        <w:t xml:space="preserve">第六章 投标文件格式</w:t>
      </w:r>
      <w:bookmarkEnd w:id="67"/>
      <w:r>
        <w:rPr>
          <w:rFonts w:hint="eastAsia"/>
        </w:rPr>
        <w:t xml:space="preserve"> </w:t>
      </w:r>
      <w:r/>
    </w:p>
    <w:p>
      <w:pPr>
        <w:rPr>
          <w:rFonts w:hint="eastAsia" w:ascii="宋体" w:hAnsi="宋体" w:cs="宋体"/>
          <w:bCs/>
          <w:sz w:val="44"/>
        </w:rPr>
      </w:pPr>
      <w:r>
        <w:rPr>
          <w:rFonts w:hint="eastAsia" w:ascii="宋体" w:hAnsi="宋体" w:cs="宋体"/>
          <w:bCs/>
          <w:sz w:val="44"/>
        </w:rPr>
      </w:r>
      <w:r/>
    </w:p>
    <w:p>
      <w:pPr>
        <w:pStyle w:val="755"/>
        <w:rPr>
          <w:rFonts w:hint="eastAsia" w:ascii="宋体" w:hAnsi="宋体" w:cs="宋体"/>
          <w:bCs/>
          <w:sz w:val="44"/>
        </w:rPr>
      </w:pPr>
      <w:r>
        <w:rPr>
          <w:rFonts w:hint="eastAsia" w:ascii="宋体" w:hAnsi="宋体" w:cs="宋体"/>
          <w:bCs/>
          <w:sz w:val="44"/>
        </w:rPr>
      </w:r>
      <w:r/>
    </w:p>
    <w:p>
      <w:r/>
      <w:r/>
    </w:p>
    <w:p>
      <w:pPr>
        <w:jc w:val="center"/>
        <w:rPr>
          <w:rFonts w:hint="eastAsia" w:ascii="宋体" w:hAnsi="宋体" w:cs="宋体"/>
          <w:b/>
          <w:sz w:val="72"/>
        </w:rPr>
      </w:pPr>
      <w:r>
        <w:rPr>
          <w:rFonts w:hint="eastAsia" w:ascii="宋体" w:hAnsi="宋体" w:cs="宋体"/>
          <w:b/>
          <w:sz w:val="72"/>
        </w:rPr>
        <w:t xml:space="preserve">投  标  文  件</w:t>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rPr>
      </w:pPr>
      <w:r>
        <w:rPr>
          <w:rFonts w:hint="eastAsia" w:ascii="宋体" w:hAnsi="宋体" w:cs="宋体"/>
          <w:b/>
          <w:sz w:val="36"/>
        </w:rPr>
        <w:t xml:space="preserve">项 目 名 称：</w:t>
      </w:r>
      <w:r/>
    </w:p>
    <w:p>
      <w:pPr>
        <w:ind w:firstLine="1084"/>
        <w:rPr>
          <w:rFonts w:hint="eastAsia" w:ascii="宋体" w:hAnsi="宋体" w:cs="宋体"/>
          <w:b/>
          <w:sz w:val="36"/>
          <w:u w:val="single"/>
        </w:rPr>
      </w:pPr>
      <w:r>
        <w:rPr>
          <w:rFonts w:hint="eastAsia" w:ascii="宋体" w:hAnsi="宋体" w:cs="宋体"/>
          <w:b/>
          <w:sz w:val="36"/>
        </w:rPr>
        <w:t xml:space="preserve">招 标 编 号：</w:t>
      </w:r>
      <w:r/>
    </w:p>
    <w:p>
      <w:pPr>
        <w:rPr>
          <w:rFonts w:hint="eastAsia" w:ascii="宋体" w:hAnsi="宋体" w:cs="宋体"/>
          <w:b/>
          <w:sz w:val="36"/>
          <w:u w:val="single"/>
        </w:rPr>
      </w:pPr>
      <w:r>
        <w:rPr>
          <w:rFonts w:hint="eastAsia" w:ascii="宋体" w:hAnsi="宋体" w:cs="宋体"/>
          <w:b/>
          <w:sz w:val="36"/>
        </w:rPr>
        <w:t xml:space="preserve">      投标人名称 ：</w:t>
      </w:r>
      <w:r/>
    </w:p>
    <w:p>
      <w:pPr>
        <w:rPr>
          <w:rFonts w:hint="eastAsia" w:ascii="宋体" w:hAnsi="宋体" w:cs="宋体"/>
          <w:b/>
          <w:sz w:val="36"/>
          <w:u w:val="single"/>
        </w:rPr>
      </w:pPr>
      <w:r>
        <w:rPr>
          <w:rFonts w:hint="eastAsia" w:ascii="宋体" w:hAnsi="宋体" w:cs="宋体"/>
          <w:b/>
          <w:sz w:val="36"/>
        </w:rPr>
        <w:t xml:space="preserve">      日      期 ：</w:t>
      </w:r>
      <w:r/>
    </w:p>
    <w:p>
      <w:pPr>
        <w:ind w:firstLine="1084"/>
        <w:rPr>
          <w:rFonts w:hint="eastAsia" w:ascii="宋体" w:hAnsi="宋体" w:cs="宋体"/>
          <w:b/>
          <w:sz w:val="36"/>
        </w:rPr>
      </w:pPr>
      <w:r>
        <w:rPr>
          <w:rFonts w:hint="eastAsia" w:ascii="宋体" w:hAnsi="宋体" w:cs="宋体"/>
          <w:b/>
          <w:sz w:val="36"/>
        </w:rPr>
        <w:t xml:space="preserve">投  标  人：（电子签章）</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32"/>
          <w:szCs w:val="32"/>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投标主要文件目录</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一、资格审查响应对照表</w:t>
      </w:r>
      <w:r/>
    </w:p>
    <w:p>
      <w:pPr>
        <w:ind w:left="480"/>
        <w:spacing w:line="360" w:lineRule="auto"/>
        <w:rPr>
          <w:rFonts w:hint="eastAsia" w:ascii="宋体" w:hAnsi="宋体" w:cs="宋体"/>
          <w:sz w:val="24"/>
        </w:rPr>
      </w:pPr>
      <w:r>
        <w:rPr>
          <w:rFonts w:hint="eastAsia" w:ascii="宋体" w:hAnsi="宋体" w:cs="宋体"/>
          <w:sz w:val="24"/>
        </w:rPr>
        <w:t xml:space="preserve">二、符合性审查响应对照表</w:t>
      </w:r>
      <w:r/>
    </w:p>
    <w:p>
      <w:pPr>
        <w:ind w:left="480"/>
        <w:spacing w:line="360" w:lineRule="auto"/>
        <w:rPr>
          <w:rFonts w:hint="eastAsia" w:ascii="宋体" w:hAnsi="宋体" w:cs="宋体"/>
          <w:sz w:val="24"/>
        </w:rPr>
      </w:pPr>
      <w:r>
        <w:rPr>
          <w:rFonts w:hint="eastAsia" w:ascii="宋体" w:hAnsi="宋体" w:cs="宋体"/>
          <w:sz w:val="24"/>
        </w:rPr>
        <w:t xml:space="preserve">三、非实质性响应对照表</w:t>
      </w:r>
      <w:r/>
    </w:p>
    <w:p>
      <w:pPr>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开标一览表</w:t>
      </w:r>
      <w:r/>
    </w:p>
    <w:p>
      <w:pPr>
        <w:ind w:firstLine="480"/>
        <w:spacing w:line="360" w:lineRule="auto"/>
        <w:rPr>
          <w:rFonts w:hint="eastAsia" w:ascii="宋体" w:hAnsi="宋体" w:cs="宋体"/>
          <w:sz w:val="24"/>
        </w:rPr>
      </w:pPr>
      <w:r>
        <w:rPr>
          <w:rFonts w:hint="eastAsia" w:ascii="宋体" w:hAnsi="宋体" w:cs="宋体"/>
          <w:sz w:val="24"/>
        </w:rPr>
        <w:t xml:space="preserve">五、投标配置与分项报价表</w:t>
      </w:r>
      <w:r/>
    </w:p>
    <w:p>
      <w:pPr>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、技术参数响应及偏离表</w:t>
      </w:r>
      <w:r/>
    </w:p>
    <w:p>
      <w:pPr>
        <w:ind w:firstLine="480"/>
        <w:spacing w:line="360" w:lineRule="auto"/>
        <w:rPr>
          <w:rFonts w:hint="eastAsia" w:ascii="宋体" w:hAnsi="宋体" w:cs="宋体"/>
          <w:sz w:val="24"/>
        </w:rPr>
      </w:pPr>
      <w:r>
        <w:rPr>
          <w:rFonts w:hint="eastAsia" w:ascii="宋体" w:hAnsi="宋体" w:cs="宋体"/>
          <w:sz w:val="24"/>
        </w:rPr>
        <w:t xml:space="preserve">七、商务条款响应及偏离表</w:t>
      </w:r>
      <w:r/>
    </w:p>
    <w:p>
      <w:pPr>
        <w:ind w:firstLine="480"/>
        <w:spacing w:line="360" w:lineRule="auto"/>
        <w:rPr>
          <w:rFonts w:hint="eastAsia" w:ascii="宋体" w:hAnsi="宋体" w:cs="宋体"/>
          <w:sz w:val="24"/>
        </w:rPr>
      </w:pPr>
      <w:r>
        <w:rPr>
          <w:rFonts w:hint="eastAsia" w:ascii="宋体" w:hAnsi="宋体" w:cs="宋体"/>
          <w:sz w:val="24"/>
        </w:rPr>
        <w:t xml:space="preserve">八、拟投入人员一览表</w:t>
      </w:r>
      <w:r/>
    </w:p>
    <w:p>
      <w:pPr>
        <w:ind w:firstLine="480"/>
        <w:spacing w:line="360" w:lineRule="auto"/>
        <w:rPr>
          <w:rFonts w:hint="eastAsia" w:ascii="宋体" w:hAnsi="宋体" w:cs="宋体"/>
          <w:sz w:val="36"/>
          <w:szCs w:val="36"/>
        </w:rPr>
      </w:pPr>
      <w:r>
        <w:rPr>
          <w:rFonts w:hint="eastAsia" w:ascii="宋体" w:hAnsi="宋体" w:cs="宋体"/>
          <w:sz w:val="24"/>
        </w:rPr>
        <w:t xml:space="preserve">九、其他 （投标人认为有必要提供的声明和文件，如有自拟并自行添加）</w:t>
      </w:r>
      <w:r/>
    </w:p>
    <w:p>
      <w:pPr>
        <w:contextualSpacing/>
        <w:jc w:val="center"/>
        <w:rPr>
          <w:rFonts w:hint="eastAsia" w:ascii="宋体" w:hAnsi="宋体" w:cs="宋体"/>
          <w:b/>
          <w:sz w:val="72"/>
        </w:rPr>
      </w:pPr>
      <w:r>
        <w:rPr>
          <w:rFonts w:hint="eastAsia" w:ascii="宋体" w:hAnsi="宋体" w:cs="宋体"/>
          <w:b/>
          <w:sz w:val="72"/>
        </w:rPr>
      </w:r>
      <w:r/>
    </w:p>
    <w:p>
      <w:pPr>
        <w:contextualSpacing/>
        <w:jc w:val="center"/>
        <w:spacing w:line="600" w:lineRule="exact"/>
        <w:rPr>
          <w:rFonts w:hint="eastAsia" w:ascii="宋体" w:hAnsi="宋体" w:cs="宋体"/>
          <w:b/>
          <w:sz w:val="72"/>
        </w:rPr>
      </w:pPr>
      <w:r>
        <w:rPr>
          <w:rFonts w:hint="eastAsia" w:ascii="宋体" w:hAnsi="宋体" w:cs="宋体"/>
          <w:b/>
          <w:sz w:val="72"/>
        </w:rPr>
      </w:r>
      <w:r/>
    </w:p>
    <w:p>
      <w:pPr>
        <w:contextualSpacing/>
        <w:jc w:val="center"/>
        <w:spacing w:line="600" w:lineRule="exact"/>
        <w:rPr>
          <w:rFonts w:hint="eastAsia" w:ascii="宋体" w:hAnsi="宋体" w:cs="宋体"/>
          <w:b/>
          <w:sz w:val="72"/>
        </w:rPr>
      </w:pPr>
      <w:r>
        <w:rPr>
          <w:rFonts w:hint="eastAsia" w:ascii="宋体" w:hAnsi="宋体" w:cs="宋体"/>
          <w:b/>
          <w:sz w:val="72"/>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rPr>
          <w:rFonts w:hint="eastAsia" w:ascii="宋体" w:hAnsi="宋体" w:cs="宋体"/>
          <w:b/>
          <w:sz w:val="32"/>
          <w:szCs w:val="32"/>
        </w:rPr>
      </w:pPr>
      <w:r>
        <w:rPr>
          <w:rFonts w:hint="eastAsia" w:ascii="宋体" w:hAnsi="宋体" w:cs="宋体"/>
          <w:b/>
          <w:sz w:val="32"/>
          <w:szCs w:val="32"/>
        </w:rPr>
      </w:r>
      <w:r/>
    </w:p>
    <w:p>
      <w:pPr>
        <w:pStyle w:val="932"/>
        <w:rPr>
          <w:rFonts w:hint="eastAsia" w:ascii="宋体" w:hAnsi="宋体" w:eastAsia="宋体" w:cs="宋体"/>
          <w:b w:val="0"/>
          <w:sz w:val="32"/>
          <w:szCs w:val="32"/>
        </w:rPr>
      </w:pPr>
      <w:r>
        <w:rPr>
          <w:rFonts w:hint="eastAsia" w:ascii="宋体" w:hAnsi="宋体" w:eastAsia="宋体" w:cs="宋体"/>
          <w:sz w:val="32"/>
          <w:szCs w:val="32"/>
        </w:rPr>
        <w:br w:type="page" w:clear="all"/>
      </w:r>
      <w:bookmarkStart w:id="68" w:name="_Toc7268"/>
      <w:r/>
      <w:bookmarkStart w:id="69" w:name="_Toc5792"/>
      <w:r/>
      <w:bookmarkStart w:id="70" w:name="_Toc20369"/>
      <w:r>
        <w:rPr>
          <w:rFonts w:hint="eastAsia" w:ascii="宋体" w:hAnsi="宋体" w:eastAsia="宋体" w:cs="宋体"/>
          <w:sz w:val="32"/>
        </w:rPr>
        <w:t xml:space="preserve">一、资格审查响应对照表</w:t>
      </w:r>
      <w:bookmarkEnd w:id="68"/>
      <w:r/>
      <w:bookmarkEnd w:id="69"/>
      <w:r/>
      <w:bookmarkEnd w:id="70"/>
      <w:r/>
      <w:r/>
    </w:p>
    <w:tbl>
      <w:tblPr>
        <w:tblStyle w:val="75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22"/>
        <w:gridCol w:w="6040"/>
        <w:gridCol w:w="2030"/>
      </w:tblGrid>
      <w:tr>
        <w:trPr>
          <w:trHeight w:val="647"/>
        </w:trPr>
        <w:tc>
          <w:tcPr>
            <w:tcW w:w="427"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序号</w:t>
            </w:r>
            <w:r/>
          </w:p>
        </w:tc>
        <w:tc>
          <w:tcPr>
            <w:gridSpan w:val="2"/>
            <w:tcW w:w="606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资格审查响应内容</w:t>
            </w:r>
            <w:r/>
          </w:p>
        </w:tc>
        <w:tc>
          <w:tcPr>
            <w:tcW w:w="203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hint="eastAsia" w:ascii="宋体" w:hAnsi="宋体" w:cs="宋体"/>
                <w:b/>
                <w:szCs w:val="21"/>
              </w:rPr>
            </w:pPr>
            <w:r>
              <w:rPr>
                <w:rFonts w:hint="eastAsia" w:ascii="宋体" w:hAnsi="宋体" w:cs="宋体"/>
                <w:b/>
                <w:szCs w:val="21"/>
              </w:rPr>
              <w:t xml:space="preserve">（填是或者否）</w:t>
            </w:r>
            <w:r/>
          </w:p>
        </w:tc>
      </w:tr>
      <w:tr>
        <w:trPr>
          <w:trHeight w:val="335"/>
        </w:trPr>
        <w:tc>
          <w:tcPr>
            <w:gridSpan w:val="4"/>
            <w:tcW w:w="8519"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通用资格条件</w:t>
            </w:r>
            <w:r/>
          </w:p>
        </w:tc>
      </w:tr>
      <w:tr>
        <w:trPr>
          <w:trHeight w:val="761"/>
        </w:trPr>
        <w:tc>
          <w:tcPr>
            <w:tcW w:w="427" w:type="dxa"/>
            <w:vAlign w:val="center"/>
            <w:textDirection w:val="lrTb"/>
            <w:noWrap w:val="false"/>
          </w:tcPr>
          <w:p>
            <w:pPr>
              <w:jc w:val="center"/>
              <w:rPr>
                <w:rFonts w:hint="eastAsia" w:ascii="宋体" w:hAnsi="宋体" w:cs="宋体"/>
                <w:b/>
                <w:szCs w:val="21"/>
              </w:rPr>
            </w:pPr>
            <w:r>
              <w:rPr>
                <w:rFonts w:hint="eastAsia" w:ascii="宋体" w:hAnsi="宋体" w:cs="宋体"/>
                <w:szCs w:val="21"/>
              </w:rPr>
              <w:t xml:space="preserve">1</w:t>
            </w:r>
            <w:r/>
          </w:p>
        </w:tc>
        <w:tc>
          <w:tcPr>
            <w:gridSpan w:val="2"/>
            <w:tcW w:w="606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法人或者其他组织的营业执照等证明文件，自然人的身份证明</w:t>
            </w:r>
            <w:r/>
          </w:p>
        </w:tc>
        <w:tc>
          <w:tcPr>
            <w:tcW w:w="2030" w:type="dxa"/>
            <w:vAlign w:val="center"/>
            <w:textDirection w:val="lrTb"/>
            <w:noWrap w:val="false"/>
          </w:tcPr>
          <w:p>
            <w:pPr>
              <w:rPr>
                <w:rFonts w:hint="eastAsia" w:ascii="宋体" w:hAnsi="宋体" w:cs="宋体"/>
                <w:b/>
                <w:szCs w:val="21"/>
              </w:rPr>
            </w:pPr>
            <w:r>
              <w:rPr>
                <w:rFonts w:hint="eastAsia" w:ascii="宋体" w:hAnsi="宋体" w:cs="宋体"/>
                <w:b/>
                <w:szCs w:val="21"/>
              </w:rPr>
            </w:r>
            <w:r/>
          </w:p>
        </w:tc>
      </w:tr>
      <w:tr>
        <w:trPr>
          <w:trHeight w:val="585"/>
        </w:trPr>
        <w:tc>
          <w:tcPr>
            <w:tcW w:w="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gridSpan w:val="2"/>
            <w:tcW w:w="606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上一年度的财务报告情况（成立不满一年无需提供）</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5"/>
        </w:trPr>
        <w:tc>
          <w:tcPr>
            <w:tcW w:w="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gridSpan w:val="2"/>
            <w:tcW w:w="606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417"/>
        </w:trPr>
        <w:tc>
          <w:tcPr>
            <w:tcW w:w="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gridSpan w:val="2"/>
            <w:tcW w:w="606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具备履行合同所必需的设备和专业技术能力的书面声明；</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780"/>
        </w:trPr>
        <w:tc>
          <w:tcPr>
            <w:tcW w:w="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gridSpan w:val="2"/>
            <w:tcW w:w="606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参加政府采购活动前3年内在经营活动中没有重大违法记录的书面声明；</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780"/>
        </w:trPr>
        <w:tc>
          <w:tcPr>
            <w:tcW w:w="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gridSpan w:val="2"/>
            <w:tcW w:w="6062"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lang w:eastAsia="zh-CN"/>
              </w:rPr>
              <w:t xml:space="preserve">供应商信用承诺书</w:t>
            </w:r>
            <w:r>
              <w:rPr>
                <w:rFonts w:hint="eastAsia" w:ascii="宋体" w:hAnsi="宋体" w:cs="宋体"/>
                <w:iCs/>
                <w:szCs w:val="21"/>
              </w:rPr>
              <w:t xml:space="preserve">；</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780"/>
        </w:trPr>
        <w:tc>
          <w:tcPr>
            <w:tcW w:w="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gridSpan w:val="2"/>
            <w:tcW w:w="606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780"/>
        </w:trPr>
        <w:tc>
          <w:tcPr>
            <w:gridSpan w:val="4"/>
            <w:tcW w:w="8519" w:type="dxa"/>
            <w:vAlign w:val="center"/>
            <w:textDirection w:val="lrTb"/>
            <w:noWrap w:val="false"/>
          </w:tcPr>
          <w:p>
            <w:pPr>
              <w:rPr>
                <w:rFonts w:hint="eastAsia" w:ascii="宋体" w:hAnsi="宋体" w:cs="宋体"/>
                <w:szCs w:val="21"/>
              </w:rPr>
            </w:pPr>
            <w:r>
              <w:rPr>
                <w:rFonts w:hint="eastAsia" w:ascii="宋体" w:hAnsi="宋体" w:cs="宋体"/>
                <w:b/>
                <w:bCs/>
                <w:szCs w:val="21"/>
              </w:rPr>
              <w:t xml:space="preserve">落实政府采购政策需满足的资格要求：</w:t>
            </w:r>
            <w:r/>
          </w:p>
        </w:tc>
      </w:tr>
      <w:tr>
        <w:trPr>
          <w:trHeight w:val="780"/>
        </w:trPr>
        <w:tc>
          <w:tcPr>
            <w:tcW w:w="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gridSpan w:val="2"/>
            <w:tcW w:w="606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根据《政府采购促进中小企业发展管理办法》规定，本项目专门面向中小企业采购，投标人应在投标文件中按要求提供《中小企业声明函》。</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641"/>
        </w:trPr>
        <w:tc>
          <w:tcPr>
            <w:gridSpan w:val="4"/>
            <w:tcW w:w="8519" w:type="dxa"/>
            <w:vAlign w:val="center"/>
            <w:textDirection w:val="lrTb"/>
            <w:noWrap w:val="false"/>
          </w:tcPr>
          <w:p>
            <w:pPr>
              <w:rPr>
                <w:rFonts w:hint="eastAsia" w:ascii="宋体" w:hAnsi="宋体" w:cs="宋体"/>
                <w:szCs w:val="21"/>
              </w:rPr>
            </w:pPr>
            <w:r>
              <w:rPr>
                <w:rFonts w:hint="eastAsia" w:ascii="宋体" w:hAnsi="宋体" w:cs="宋体"/>
                <w:b/>
                <w:szCs w:val="21"/>
              </w:rPr>
              <w:t xml:space="preserve">特定资格条件：</w:t>
            </w:r>
            <w:r>
              <w:rPr>
                <w:rFonts w:hint="eastAsia" w:ascii="宋体" w:hAnsi="宋体" w:cs="宋体"/>
                <w:b/>
                <w:bCs/>
                <w:szCs w:val="21"/>
              </w:rPr>
              <w:t xml:space="preserve">无</w:t>
            </w:r>
            <w:r/>
          </w:p>
        </w:tc>
      </w:tr>
      <w:tr>
        <w:trPr>
          <w:trHeight w:val="400"/>
        </w:trPr>
        <w:tc>
          <w:tcPr>
            <w:gridSpan w:val="4"/>
            <w:tcW w:w="8519"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其他资格条件</w:t>
            </w:r>
            <w:r/>
          </w:p>
        </w:tc>
      </w:tr>
      <w:tr>
        <w:trPr>
          <w:trHeight w:val="400"/>
        </w:trPr>
        <w:tc>
          <w:tcPr>
            <w:gridSpan w:val="2"/>
            <w:tcW w:w="44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W w:w="6040" w:type="dxa"/>
            <w:vAlign w:val="center"/>
            <w:textDirection w:val="lrTb"/>
            <w:noWrap w:val="false"/>
          </w:tcPr>
          <w:p>
            <w:pPr>
              <w:jc w:val="left"/>
              <w:spacing w:line="0" w:lineRule="atLeast"/>
              <w:rPr>
                <w:rFonts w:hint="eastAsia" w:ascii="宋体" w:hAnsi="宋体" w:cs="宋体"/>
                <w:iCs/>
                <w:szCs w:val="21"/>
              </w:rPr>
            </w:pPr>
            <w:r>
              <w:rPr>
                <w:rFonts w:hint="eastAsia" w:ascii="宋体" w:hAnsi="宋体" w:cs="宋体"/>
                <w:iCs/>
                <w:szCs w:val="21"/>
              </w:rPr>
              <w:t xml:space="preserve">投标函</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400"/>
        </w:trPr>
        <w:tc>
          <w:tcPr>
            <w:gridSpan w:val="2"/>
            <w:tcW w:w="44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6040" w:type="dxa"/>
            <w:vAlign w:val="center"/>
            <w:textDirection w:val="lrTb"/>
            <w:noWrap w:val="false"/>
          </w:tcPr>
          <w:p>
            <w:pPr>
              <w:jc w:val="left"/>
              <w:spacing w:line="0" w:lineRule="atLeast"/>
              <w:rPr>
                <w:rFonts w:hint="eastAsia" w:ascii="宋体" w:hAnsi="宋体" w:cs="宋体"/>
                <w:iCs/>
                <w:szCs w:val="21"/>
              </w:rPr>
            </w:pPr>
            <w:r>
              <w:rPr>
                <w:rFonts w:hint="eastAsia" w:ascii="宋体" w:hAnsi="宋体" w:cs="宋体"/>
                <w:iCs/>
                <w:szCs w:val="21"/>
              </w:rPr>
              <w:t xml:space="preserve">法人授权书</w:t>
            </w:r>
            <w:r/>
          </w:p>
        </w:tc>
        <w:tc>
          <w:tcPr>
            <w:tcW w:w="2030"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ind w:firstLine="1476"/>
        <w:spacing w:before="156" w:after="156" w:line="360" w:lineRule="auto"/>
        <w:rPr>
          <w:rFonts w:hint="eastAsia"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rPr>
      </w:r>
      <w:r/>
    </w:p>
    <w:p>
      <w:pPr>
        <w:ind w:firstLine="1476"/>
        <w:spacing w:before="156" w:after="156" w:line="360" w:lineRule="auto"/>
        <w:rPr>
          <w:rFonts w:hint="eastAsia" w:ascii="宋体" w:hAnsi="宋体" w:cs="宋体"/>
          <w:b/>
          <w:bCs/>
        </w:rPr>
      </w:pPr>
      <w:r>
        <w:rPr>
          <w:rFonts w:hint="eastAsia" w:ascii="宋体" w:hAnsi="宋体" w:cs="宋体"/>
          <w:b/>
          <w:bCs/>
        </w:rPr>
        <w:t xml:space="preserve">具备履行合同所必需的设备和专业技术能力的书面声明</w:t>
      </w:r>
      <w:r/>
    </w:p>
    <w:p>
      <w:pPr>
        <w:ind w:firstLine="492"/>
        <w:spacing w:line="460" w:lineRule="exact"/>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szCs w:val="21"/>
        </w:rPr>
      </w:pPr>
      <w:r>
        <w:rPr>
          <w:rFonts w:hint="eastAsia" w:ascii="宋体" w:hAnsi="宋体" w:cs="宋体"/>
          <w:bCs/>
          <w:szCs w:val="21"/>
        </w:rPr>
        <w:t xml:space="preserve">主要设备有：。</w:t>
      </w:r>
      <w:r/>
    </w:p>
    <w:p>
      <w:pPr>
        <w:ind w:firstLine="492"/>
        <w:spacing w:line="460" w:lineRule="exact"/>
        <w:rPr>
          <w:rFonts w:hint="eastAsia" w:ascii="宋体" w:hAnsi="宋体" w:cs="宋体"/>
          <w:bCs/>
          <w:szCs w:val="21"/>
        </w:rPr>
      </w:pPr>
      <w:r>
        <w:rPr>
          <w:rFonts w:hint="eastAsia" w:ascii="宋体" w:hAnsi="宋体" w:cs="宋体"/>
          <w:bCs/>
          <w:szCs w:val="21"/>
        </w:rPr>
        <w:t xml:space="preserve">主要专业技术能力有：。</w:t>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contextualSpacing/>
        <w:spacing w:line="600" w:lineRule="exact"/>
        <w:rPr>
          <w:rFonts w:hint="eastAsia" w:ascii="宋体" w:hAnsi="宋体" w:cs="宋体"/>
          <w:b/>
          <w:sz w:val="36"/>
        </w:rPr>
      </w:pPr>
      <w:r>
        <w:rPr>
          <w:rFonts w:hint="eastAsia" w:ascii="宋体" w:hAnsi="宋体" w:cs="宋体"/>
          <w:b/>
          <w:sz w:val="36"/>
        </w:rPr>
      </w:r>
      <w:r/>
    </w:p>
    <w:p>
      <w:pPr>
        <w:rPr>
          <w:rFonts w:hint="eastAsia" w:ascii="宋体" w:hAnsi="宋体" w:cs="宋体"/>
          <w:b/>
          <w:sz w:val="36"/>
        </w:rPr>
      </w:pPr>
      <w:r>
        <w:rPr>
          <w:rFonts w:hint="eastAsia" w:ascii="宋体" w:hAnsi="宋体" w:cs="宋体"/>
          <w:b/>
          <w:sz w:val="36"/>
        </w:rPr>
        <w:br w:type="page" w:clear="all"/>
      </w:r>
      <w:r/>
    </w:p>
    <w:p>
      <w:pPr>
        <w:jc w:val="center"/>
        <w:spacing w:line="360" w:lineRule="auto"/>
        <w:rPr>
          <w:rFonts w:hint="eastAsia" w:ascii="宋体" w:hAnsi="宋体" w:cs="宋体"/>
          <w:b/>
          <w:bCs/>
        </w:rPr>
      </w:pPr>
      <w:r>
        <w:rPr>
          <w:rFonts w:hint="eastAsia" w:ascii="宋体" w:hAnsi="宋体" w:cs="宋体"/>
          <w:b/>
          <w:bCs/>
        </w:rPr>
        <w:t xml:space="preserve">参加本次政府采购活动前 3 年内在经营活动中没有重大违法记录的书面声明</w:t>
      </w:r>
      <w:r/>
    </w:p>
    <w:p>
      <w:pPr>
        <w:spacing w:line="360" w:lineRule="auto"/>
        <w:rPr>
          <w:rFonts w:hint="eastAsia" w:ascii="宋体" w:hAnsi="宋体" w:cs="宋体"/>
        </w:rPr>
      </w:pPr>
      <w:r>
        <w:rPr>
          <w:rFonts w:hint="eastAsia" w:ascii="宋体" w:hAnsi="宋体" w:cs="宋体"/>
        </w:rPr>
      </w:r>
      <w:r/>
    </w:p>
    <w:p>
      <w:pPr>
        <w:jc w:val="center"/>
        <w:spacing w:after="312" w:line="360" w:lineRule="auto"/>
        <w:rPr>
          <w:rFonts w:hint="eastAsia" w:ascii="宋体" w:hAnsi="宋体" w:cs="宋体"/>
          <w:b/>
          <w:bCs/>
        </w:rPr>
      </w:pPr>
      <w:r>
        <w:rPr>
          <w:rFonts w:hint="eastAsia" w:ascii="宋体" w:hAnsi="宋体" w:cs="宋体"/>
          <w:b/>
          <w:bCs/>
        </w:rPr>
        <w:t xml:space="preserve">声  明</w:t>
      </w:r>
      <w:r/>
    </w:p>
    <w:p>
      <w:pPr>
        <w:spacing w:line="360" w:lineRule="auto"/>
        <w:rPr>
          <w:rFonts w:hint="eastAsia" w:ascii="宋体" w:hAnsi="宋体" w:cs="宋体"/>
          <w:bCs/>
        </w:rPr>
      </w:pP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rPr>
      </w:pPr>
      <w:r>
        <w:rPr>
          <w:rFonts w:hint="eastAsia" w:ascii="宋体" w:hAnsi="宋体" w:cs="宋体"/>
          <w:bCs/>
        </w:rPr>
        <w:t xml:space="preserve">                               供应商名称（公章）：</w:t>
      </w:r>
      <w:r/>
    </w:p>
    <w:p>
      <w:pPr>
        <w:spacing w:line="360" w:lineRule="auto"/>
        <w:rPr>
          <w:rFonts w:hint="eastAsia" w:ascii="宋体" w:hAnsi="宋体" w:cs="宋体"/>
          <w:bCs/>
        </w:rPr>
      </w:pPr>
      <w:r>
        <w:rPr>
          <w:rFonts w:hint="eastAsia" w:ascii="宋体" w:hAnsi="宋体" w:cs="宋体"/>
          <w:bCs/>
        </w:rPr>
        <w:t xml:space="preserve">                               法定代表人签章：</w:t>
      </w:r>
      <w:r>
        <w:rPr>
          <w:rFonts w:hint="eastAsia" w:ascii="宋体" w:hAnsi="宋体" w:cs="宋体"/>
          <w:bCs/>
          <w:u w:val="single"/>
        </w:rPr>
        <w:t xml:space="preserve">_______________________</w:t>
      </w:r>
      <w:r/>
    </w:p>
    <w:p>
      <w:pPr>
        <w:spacing w:line="360" w:lineRule="auto"/>
        <w:rPr>
          <w:rFonts w:hint="eastAsia" w:ascii="宋体" w:hAnsi="宋体" w:cs="宋体"/>
          <w:bCs/>
        </w:rPr>
      </w:pPr>
      <w:r>
        <w:rPr>
          <w:rFonts w:hint="eastAsia" w:ascii="宋体" w:hAnsi="宋体" w:cs="宋体"/>
          <w:bCs/>
        </w:rPr>
        <w:t xml:space="preserve">                               日期：  年  月  日</w:t>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center"/>
        <w:spacing w:line="500" w:lineRule="exact"/>
        <w:rPr>
          <w:rFonts w:hint="eastAsia" w:ascii="宋体" w:hAnsi="宋体" w:eastAsia="宋体" w:cs="宋体"/>
          <w:b/>
          <w:szCs w:val="21"/>
          <w:lang w:val="en-US" w:eastAsia="zh-CN"/>
        </w:rPr>
      </w:pPr>
      <w:r>
        <w:rPr>
          <w:rFonts w:hint="eastAsia" w:ascii="宋体" w:hAnsi="宋体" w:cs="宋体"/>
          <w:b/>
          <w:bCs/>
        </w:rPr>
        <w:br w:type="page" w:clear="all"/>
      </w:r>
      <w:r>
        <w:rPr>
          <w:rFonts w:hint="eastAsia" w:ascii="宋体" w:hAnsi="宋体" w:cs="宋体"/>
          <w:b/>
          <w:szCs w:val="21"/>
        </w:rPr>
        <w:t xml:space="preserve">供应商信用承诺</w:t>
      </w:r>
      <w:r>
        <w:rPr>
          <w:rFonts w:hint="eastAsia" w:ascii="宋体" w:hAnsi="宋体" w:cs="宋体"/>
          <w:b/>
          <w:szCs w:val="21"/>
          <w:lang w:val="en-US" w:eastAsia="zh-CN"/>
        </w:rPr>
        <w:t xml:space="preserve">书</w:t>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hint="eastAsia" w:ascii="宋体" w:hAnsi="宋体" w:cs="宋体"/>
          <w:szCs w:val="21"/>
        </w:rPr>
      </w:pPr>
      <w:r>
        <w:rPr>
          <w:rFonts w:hint="eastAsia" w:ascii="宋体" w:hAnsi="宋体" w:cs="宋体"/>
          <w:szCs w:val="21"/>
        </w:rPr>
        <w:t xml:space="preserve">　　　　　　　　　　        承诺单位（签章）：           </w:t>
      </w:r>
      <w:r/>
    </w:p>
    <w:p>
      <w:pPr>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jc w:val="center"/>
        <w:spacing w:line="360" w:lineRule="auto"/>
        <w:rPr>
          <w:rFonts w:hint="eastAsia" w:ascii="宋体" w:hAnsi="宋体" w:cs="宋体"/>
          <w:szCs w:val="21"/>
        </w:rPr>
      </w:pPr>
      <w:r>
        <w:rPr>
          <w:rFonts w:hint="eastAsia" w:ascii="宋体" w:hAnsi="宋体" w:cs="宋体"/>
          <w:szCs w:val="21"/>
        </w:rPr>
        <w:t xml:space="preserve">　　　　　　　　　      　年    月    日</w:t>
      </w:r>
      <w:r/>
    </w:p>
    <w:p>
      <w:pPr>
        <w:jc w:val="center"/>
        <w:spacing w:line="50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投标函格式</w:t>
      </w:r>
      <w:r/>
    </w:p>
    <w:p>
      <w:pPr>
        <w:pStyle w:val="968"/>
        <w:ind w:firstLine="0"/>
        <w:spacing w:before="0" w:after="0"/>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rPr>
        <w:t xml:space="preserve">江苏苏维工程管理有限公司</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根据贵方的（）号招标文件，正式授权下述签字人_________________(姓名)代表我方______________（投标人的名称），全权处理本次项目投标的有关事宜。</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据此函，__________签字人（姓名）兹宣布同意如下：</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1.按招标文件规定的各项要求，向买方提供所需货物与服务。</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2.我们完全理解贵方不一定将合同授予最低报价的投标人。</w:t>
      </w:r>
      <w:r/>
    </w:p>
    <w:p>
      <w:pPr>
        <w:pStyle w:val="968"/>
        <w:ind w:firstLine="420"/>
        <w:spacing w:before="0" w:after="0"/>
        <w:rPr>
          <w:rFonts w:hint="eastAsia" w:ascii="宋体" w:hAnsi="宋体" w:cs="宋体"/>
          <w:sz w:val="21"/>
          <w:szCs w:val="21"/>
        </w:rPr>
      </w:pPr>
      <w:r>
        <w:rPr>
          <w:rFonts w:hint="eastAsia" w:ascii="宋体" w:hAnsi="宋体" w:cs="宋体"/>
          <w:sz w:val="21"/>
          <w:szCs w:val="21"/>
        </w:rPr>
        <w:t xml:space="preserve">3.我们已详细审核全部招标文件及其有效补充文件，我们知道必须放弃提出含糊不清或误解问题的权利。</w:t>
      </w:r>
      <w:r/>
    </w:p>
    <w:p>
      <w:pPr>
        <w:pStyle w:val="968"/>
        <w:spacing w:before="0" w:after="0"/>
        <w:rPr>
          <w:rFonts w:hint="eastAsia" w:ascii="宋体" w:hAnsi="宋体" w:cs="宋体"/>
          <w:sz w:val="21"/>
          <w:szCs w:val="21"/>
        </w:rPr>
      </w:pPr>
      <w:r>
        <w:rPr>
          <w:rFonts w:hint="eastAsia" w:ascii="宋体" w:hAnsi="宋体" w:cs="宋体"/>
          <w:sz w:val="21"/>
          <w:szCs w:val="21"/>
        </w:rPr>
        <w:t xml:space="preserve">4.我们同意从规定的开标日期起遵循本投标文件，并在规定的投标有效期期满之前均具有约束力。</w:t>
      </w:r>
      <w:r/>
    </w:p>
    <w:p>
      <w:pPr>
        <w:pStyle w:val="968"/>
        <w:spacing w:before="0" w:after="0"/>
        <w:rPr>
          <w:rFonts w:hint="eastAsia" w:ascii="宋体" w:hAnsi="宋体" w:cs="宋体"/>
          <w:sz w:val="21"/>
          <w:szCs w:val="21"/>
        </w:rPr>
      </w:pPr>
      <w:r>
        <w:rPr>
          <w:rFonts w:hint="eastAsia" w:ascii="宋体" w:hAnsi="宋体" w:cs="宋体"/>
          <w:sz w:val="21"/>
          <w:szCs w:val="21"/>
        </w:rPr>
        <w:t xml:space="preserve">5.同意向贵方提供贵方可能另外要求的与投标有关的任何证据或资料，并保证我方已提供和将要提供的文件是真实的、准确的。</w:t>
      </w:r>
      <w:r/>
    </w:p>
    <w:p>
      <w:pPr>
        <w:pStyle w:val="968"/>
        <w:spacing w:before="0" w:after="0"/>
        <w:rPr>
          <w:rFonts w:hint="eastAsia" w:ascii="宋体" w:hAnsi="宋体" w:cs="宋体"/>
          <w:sz w:val="21"/>
          <w:szCs w:val="21"/>
        </w:rPr>
      </w:pPr>
      <w:r>
        <w:rPr>
          <w:rFonts w:hint="eastAsia" w:ascii="宋体" w:hAnsi="宋体" w:cs="宋体"/>
          <w:sz w:val="21"/>
          <w:szCs w:val="21"/>
        </w:rPr>
        <w:t xml:space="preserve">6.一旦我方中标,我方将根据招标文件的规定，严格履行合同的责任和义务,并保证在招标文件规定的时间完成项目，交付买方验收、使用。</w:t>
      </w:r>
      <w:r/>
    </w:p>
    <w:p>
      <w:pPr>
        <w:pStyle w:val="968"/>
        <w:ind w:left="425" w:firstLine="105"/>
        <w:spacing w:before="0" w:after="0"/>
        <w:rPr>
          <w:rFonts w:hint="eastAsia" w:ascii="宋体" w:hAnsi="宋体" w:cs="宋体"/>
          <w:sz w:val="21"/>
          <w:szCs w:val="21"/>
        </w:rPr>
      </w:pPr>
      <w:r>
        <w:rPr>
          <w:rFonts w:hint="eastAsia" w:ascii="宋体" w:hAnsi="宋体" w:cs="宋体"/>
          <w:sz w:val="21"/>
          <w:szCs w:val="21"/>
        </w:rPr>
        <w:t xml:space="preserve">7.与本投标有关的正式通讯地址为：</w:t>
      </w:r>
      <w:r/>
    </w:p>
    <w:p>
      <w:pPr>
        <w:pStyle w:val="968"/>
        <w:ind w:firstLine="478"/>
        <w:spacing w:before="0" w:after="0"/>
        <w:rPr>
          <w:rFonts w:hint="eastAsia" w:ascii="宋体" w:hAnsi="宋体" w:cs="宋体"/>
          <w:sz w:val="21"/>
          <w:szCs w:val="21"/>
        </w:rPr>
      </w:pPr>
      <w:r>
        <w:rPr>
          <w:rFonts w:hint="eastAsia" w:ascii="宋体" w:hAnsi="宋体" w:cs="宋体"/>
          <w:sz w:val="21"/>
          <w:szCs w:val="21"/>
        </w:rPr>
        <w:t xml:space="preserve">地 址：</w:t>
      </w:r>
      <w:r/>
    </w:p>
    <w:p>
      <w:pPr>
        <w:pStyle w:val="968"/>
        <w:ind w:firstLine="478"/>
        <w:spacing w:before="0" w:after="0"/>
        <w:rPr>
          <w:rFonts w:hint="eastAsia" w:ascii="宋体" w:hAnsi="宋体" w:cs="宋体"/>
          <w:sz w:val="21"/>
          <w:szCs w:val="21"/>
        </w:rPr>
      </w:pPr>
      <w:r>
        <w:rPr>
          <w:rFonts w:hint="eastAsia" w:ascii="宋体" w:hAnsi="宋体" w:cs="宋体"/>
          <w:sz w:val="21"/>
          <w:szCs w:val="21"/>
        </w:rPr>
        <w:t xml:space="preserve">邮 编：</w:t>
      </w:r>
      <w:r/>
    </w:p>
    <w:p>
      <w:pPr>
        <w:pStyle w:val="968"/>
        <w:ind w:firstLine="478"/>
        <w:spacing w:before="0" w:after="0"/>
        <w:rPr>
          <w:rFonts w:hint="eastAsia" w:ascii="宋体" w:hAnsi="宋体" w:cs="宋体"/>
          <w:sz w:val="21"/>
          <w:szCs w:val="21"/>
        </w:rPr>
      </w:pPr>
      <w:r>
        <w:rPr>
          <w:rFonts w:hint="eastAsia" w:ascii="宋体" w:hAnsi="宋体" w:cs="宋体"/>
          <w:sz w:val="21"/>
          <w:szCs w:val="21"/>
        </w:rPr>
        <w:t xml:space="preserve">电 话： </w:t>
      </w:r>
      <w:r/>
    </w:p>
    <w:p>
      <w:pPr>
        <w:pStyle w:val="968"/>
        <w:ind w:firstLine="478"/>
        <w:spacing w:before="0" w:after="0"/>
        <w:rPr>
          <w:rFonts w:hint="eastAsia" w:ascii="宋体" w:hAnsi="宋体" w:cs="宋体"/>
          <w:sz w:val="21"/>
          <w:szCs w:val="21"/>
        </w:rPr>
      </w:pPr>
      <w:r>
        <w:rPr>
          <w:rFonts w:hint="eastAsia" w:ascii="宋体" w:hAnsi="宋体" w:cs="宋体"/>
          <w:sz w:val="21"/>
          <w:szCs w:val="21"/>
        </w:rPr>
        <w:t xml:space="preserve">传 真： </w:t>
      </w:r>
      <w:r/>
    </w:p>
    <w:p>
      <w:pPr>
        <w:pStyle w:val="968"/>
        <w:ind w:firstLine="478"/>
        <w:spacing w:before="0" w:after="0"/>
        <w:rPr>
          <w:rFonts w:hint="eastAsia" w:ascii="宋体" w:hAnsi="宋体" w:cs="宋体"/>
          <w:sz w:val="21"/>
          <w:szCs w:val="21"/>
        </w:rPr>
      </w:pPr>
      <w:r>
        <w:rPr>
          <w:rFonts w:hint="eastAsia" w:ascii="宋体" w:hAnsi="宋体" w:cs="宋体"/>
          <w:sz w:val="21"/>
          <w:szCs w:val="21"/>
        </w:rPr>
        <w:t xml:space="preserve">投标人开户行：</w:t>
      </w:r>
      <w:r/>
    </w:p>
    <w:p>
      <w:pPr>
        <w:pStyle w:val="968"/>
        <w:ind w:firstLine="478"/>
        <w:spacing w:before="0" w:after="0"/>
        <w:rPr>
          <w:rFonts w:hint="eastAsia" w:ascii="宋体" w:hAnsi="宋体" w:cs="宋体"/>
          <w:sz w:val="21"/>
          <w:szCs w:val="21"/>
        </w:rPr>
      </w:pPr>
      <w:r>
        <w:rPr>
          <w:rFonts w:hint="eastAsia" w:ascii="宋体" w:hAnsi="宋体" w:cs="宋体"/>
          <w:sz w:val="21"/>
          <w:szCs w:val="21"/>
        </w:rPr>
        <w:t xml:space="preserve">账 户： </w:t>
      </w:r>
      <w:r/>
    </w:p>
    <w:p>
      <w:pPr>
        <w:pStyle w:val="968"/>
        <w:ind w:firstLine="478"/>
        <w:spacing w:before="0" w:after="0"/>
        <w:rPr>
          <w:rFonts w:hint="eastAsia" w:ascii="宋体" w:hAnsi="宋体" w:cs="宋体"/>
          <w:sz w:val="21"/>
          <w:szCs w:val="21"/>
        </w:rPr>
      </w:pPr>
      <w:r>
        <w:rPr>
          <w:rFonts w:hint="eastAsia" w:ascii="宋体" w:hAnsi="宋体" w:cs="宋体"/>
          <w:sz w:val="21"/>
          <w:szCs w:val="21"/>
        </w:rPr>
        <w:t xml:space="preserve">行 号：</w:t>
      </w:r>
      <w:r/>
    </w:p>
    <w:p>
      <w:pPr>
        <w:pStyle w:val="968"/>
        <w:ind w:firstLine="478"/>
        <w:spacing w:before="0" w:after="0"/>
        <w:rPr>
          <w:rFonts w:hint="eastAsia" w:ascii="宋体" w:hAnsi="宋体" w:cs="宋体"/>
          <w:sz w:val="21"/>
          <w:szCs w:val="21"/>
        </w:rPr>
      </w:pPr>
      <w:r>
        <w:rPr>
          <w:rFonts w:hint="eastAsia" w:ascii="宋体" w:hAnsi="宋体" w:cs="宋体"/>
          <w:sz w:val="21"/>
          <w:szCs w:val="21"/>
        </w:rPr>
        <w:t xml:space="preserve">日 期：________年____月____日</w:t>
      </w:r>
      <w:r/>
    </w:p>
    <w:p>
      <w:pPr>
        <w:contextualSpacing/>
        <w:spacing w:line="600" w:lineRule="exact"/>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法人授权书</w:t>
      </w:r>
      <w:r/>
    </w:p>
    <w:p>
      <w:pPr>
        <w:pStyle w:val="969"/>
        <w:ind w:firstLine="420"/>
        <w:spacing w:line="360" w:lineRule="auto"/>
        <w:rPr>
          <w:rFonts w:hint="eastAsia" w:ascii="宋体" w:hAnsi="宋体" w:cs="宋体"/>
          <w:sz w:val="21"/>
          <w:szCs w:val="21"/>
        </w:rPr>
      </w:pPr>
      <w:r>
        <w:rPr>
          <w:rFonts w:hint="eastAsia" w:ascii="宋体" w:hAnsi="宋体" w:cs="宋体"/>
          <w:sz w:val="21"/>
          <w:szCs w:val="21"/>
        </w:rPr>
      </w:r>
      <w:r/>
    </w:p>
    <w:p>
      <w:pPr>
        <w:pStyle w:val="969"/>
        <w:ind w:firstLine="420"/>
        <w:spacing w:line="360" w:lineRule="auto"/>
        <w:rPr>
          <w:rFonts w:hint="eastAsia" w:ascii="宋体" w:hAnsi="宋体" w:cs="宋体"/>
          <w:sz w:val="21"/>
          <w:szCs w:val="21"/>
        </w:rPr>
      </w:pPr>
      <w:r>
        <w:rPr>
          <w:rFonts w:hint="eastAsia" w:ascii="宋体" w:hAnsi="宋体" w:cs="宋体"/>
          <w:sz w:val="21"/>
          <w:szCs w:val="21"/>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69"/>
        <w:ind w:firstLine="420"/>
        <w:spacing w:line="360" w:lineRule="auto"/>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p>
    <w:p>
      <w:pPr>
        <w:pStyle w:val="969"/>
        <w:ind w:firstLine="0"/>
        <w:spacing w:line="360" w:lineRule="auto"/>
        <w:rPr>
          <w:rFonts w:hint="eastAsia" w:ascii="宋体" w:hAnsi="宋体" w:cs="宋体"/>
          <w:sz w:val="21"/>
          <w:szCs w:val="21"/>
        </w:rPr>
      </w:pPr>
      <w:r>
        <w:rPr>
          <w:rFonts w:hint="eastAsia" w:ascii="宋体" w:hAnsi="宋体" w:cs="宋体"/>
          <w:sz w:val="21"/>
          <w:szCs w:val="21"/>
        </w:rPr>
      </w:r>
      <w:r/>
    </w:p>
    <w:p>
      <w:pPr>
        <w:pStyle w:val="969"/>
        <w:ind w:firstLine="420"/>
        <w:spacing w:line="360" w:lineRule="auto"/>
        <w:rPr>
          <w:rFonts w:hint="eastAsia" w:ascii="宋体" w:hAnsi="宋体" w:cs="宋体"/>
          <w:sz w:val="21"/>
          <w:szCs w:val="21"/>
        </w:rPr>
      </w:pPr>
      <w:r>
        <w:rPr>
          <w:rFonts w:hint="eastAsia" w:ascii="宋体" w:hAnsi="宋体" w:cs="宋体"/>
          <w:sz w:val="21"/>
          <w:szCs w:val="21"/>
        </w:rPr>
        <w:t xml:space="preserve">被授权人姓名： </w:t>
      </w:r>
      <w:r/>
    </w:p>
    <w:p>
      <w:pPr>
        <w:pStyle w:val="969"/>
        <w:ind w:firstLine="420"/>
        <w:spacing w:line="360" w:lineRule="auto"/>
        <w:rPr>
          <w:rFonts w:hint="eastAsia" w:ascii="宋体" w:hAnsi="宋体" w:cs="宋体"/>
          <w:sz w:val="21"/>
          <w:szCs w:val="21"/>
          <w:u w:val="single"/>
        </w:rPr>
      </w:pPr>
      <w:r>
        <w:rPr>
          <w:rFonts w:hint="eastAsia" w:ascii="宋体" w:hAnsi="宋体" w:cs="宋体"/>
          <w:sz w:val="21"/>
          <w:szCs w:val="21"/>
        </w:rPr>
        <w:t xml:space="preserve">联系电话（手机）：</w:t>
      </w:r>
      <w:r/>
    </w:p>
    <w:p>
      <w:pPr>
        <w:pStyle w:val="969"/>
        <w:ind w:firstLine="420"/>
        <w:spacing w:line="360" w:lineRule="auto"/>
        <w:rPr>
          <w:rFonts w:hint="eastAsia" w:ascii="宋体" w:hAnsi="宋体" w:cs="宋体"/>
          <w:sz w:val="21"/>
          <w:szCs w:val="21"/>
        </w:rPr>
      </w:pPr>
      <w:r>
        <w:rPr>
          <w:rFonts w:hint="eastAsia" w:ascii="宋体" w:hAnsi="宋体" w:cs="宋体"/>
          <w:sz w:val="21"/>
          <w:szCs w:val="21"/>
        </w:rPr>
        <w:t xml:space="preserve">单位名称： </w:t>
      </w:r>
      <w:r/>
    </w:p>
    <w:p>
      <w:pPr>
        <w:pStyle w:val="9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单位地址：</w:t>
      </w:r>
      <w:r/>
    </w:p>
    <w:p>
      <w:pPr>
        <w:pStyle w:val="969"/>
        <w:ind w:firstLine="420"/>
        <w:spacing w:line="360" w:lineRule="auto"/>
        <w:rPr>
          <w:rFonts w:hint="eastAsia" w:ascii="宋体" w:hAnsi="宋体" w:cs="宋体"/>
          <w:sz w:val="21"/>
          <w:szCs w:val="21"/>
        </w:rPr>
      </w:pPr>
      <w:r>
        <w:rPr>
          <w:rFonts w:hint="eastAsia" w:ascii="宋体" w:hAnsi="宋体" w:cs="宋体"/>
          <w:sz w:val="21"/>
          <w:szCs w:val="21"/>
        </w:rPr>
        <w:t xml:space="preserve">日期：</w:t>
      </w:r>
      <w:r/>
    </w:p>
    <w:p>
      <w:pPr>
        <w:spacing w:line="460" w:lineRule="exact"/>
        <w:rPr>
          <w:rFonts w:hint="eastAsia" w:ascii="宋体" w:hAnsi="宋体" w:cs="宋体"/>
          <w:bCs/>
        </w:rPr>
      </w:pPr>
      <w:r>
        <w:rPr>
          <w:rFonts w:hint="eastAsia" w:ascii="宋体" w:hAnsi="宋体" w:cs="宋体"/>
          <w:bCs/>
        </w:rPr>
      </w:r>
      <w:r/>
    </w:p>
    <w:p>
      <w:pPr>
        <w:spacing w:line="460" w:lineRule="exact"/>
        <w:rPr>
          <w:rFonts w:hint="eastAsia" w:ascii="宋体" w:hAnsi="宋体" w:cs="宋体"/>
          <w:bCs/>
          <w:sz w:val="24"/>
        </w:rPr>
      </w:pPr>
      <w:r>
        <w:rPr>
          <w:rFonts w:hint="eastAsia" w:ascii="宋体" w:hAnsi="宋体" w:cs="宋体"/>
          <w:bCs/>
          <w:sz w:val="24"/>
        </w:rPr>
      </w:r>
      <w:r/>
    </w:p>
    <w:p>
      <w:pPr>
        <w:ind w:firstLine="420"/>
        <w:spacing w:line="460" w:lineRule="exact"/>
        <w:rPr>
          <w:rFonts w:hint="eastAsia" w:ascii="宋体" w:hAnsi="宋体" w:cs="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rPr>
        <w:t xml:space="preserve">法定代表人身份证复印件、被授权人身份证复印件</w:t>
      </w:r>
      <w:r/>
    </w:p>
    <w:p>
      <w:pPr>
        <w:pStyle w:val="932"/>
        <w:rPr>
          <w:rFonts w:hint="eastAsia" w:ascii="宋体" w:hAnsi="宋体" w:eastAsia="宋体" w:cs="宋体"/>
          <w:sz w:val="32"/>
        </w:rPr>
      </w:pPr>
      <w:r/>
      <w:bookmarkStart w:id="71" w:name="_Toc20616"/>
      <w:r/>
      <w:bookmarkStart w:id="72" w:name="_Toc16911"/>
      <w:r/>
      <w:bookmarkStart w:id="73" w:name="_Toc9345"/>
      <w:r>
        <w:rPr>
          <w:rFonts w:hint="eastAsia" w:ascii="宋体" w:hAnsi="宋体" w:eastAsia="宋体" w:cs="宋体"/>
          <w:sz w:val="32"/>
        </w:rPr>
        <w:t xml:space="preserve">二、符合性审查响应对照表</w:t>
      </w:r>
      <w:bookmarkEnd w:id="71"/>
      <w:r/>
      <w:bookmarkEnd w:id="72"/>
      <w:r/>
      <w:bookmarkEnd w:id="73"/>
      <w:r/>
      <w:r/>
    </w:p>
    <w:p>
      <w:pPr>
        <w:rPr>
          <w:rFonts w:hint="eastAsia" w:ascii="宋体" w:hAnsi="宋体" w:cs="宋体"/>
          <w:b/>
          <w:sz w:val="32"/>
          <w:szCs w:val="32"/>
        </w:rPr>
      </w:pPr>
      <w:r>
        <w:rPr>
          <w:rFonts w:hint="eastAsia" w:ascii="宋体" w:hAnsi="宋体" w:cs="宋体"/>
          <w:b/>
          <w:sz w:val="32"/>
          <w:szCs w:val="32"/>
        </w:rPr>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hint="eastAsia" w:ascii="宋体" w:hAnsi="宋体" w:cs="宋体"/>
                <w:b/>
                <w:szCs w:val="21"/>
              </w:rPr>
            </w:pPr>
            <w:r>
              <w:rPr>
                <w:rFonts w:hint="eastAsia" w:ascii="宋体" w:hAnsi="宋体" w:cs="宋体"/>
                <w:b/>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2999" w:type="pct"/>
            <w:vAlign w:val="center"/>
            <w:textDirection w:val="lrTb"/>
            <w:noWrap w:val="false"/>
          </w:tcPr>
          <w:p>
            <w:pPr>
              <w:spacing w:line="0" w:lineRule="atLeast"/>
              <w:rPr>
                <w:rFonts w:hint="eastAsia" w:ascii="宋体" w:hAnsi="宋体" w:cs="宋体"/>
                <w:bCs/>
                <w:iCs/>
                <w:szCs w:val="21"/>
              </w:rPr>
            </w:pPr>
            <w:r>
              <w:rPr>
                <w:rFonts w:hint="eastAsia" w:ascii="宋体" w:hAnsi="宋体" w:cs="宋体"/>
                <w:bCs/>
                <w:iCs/>
                <w:szCs w:val="21"/>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szCs w:val="21"/>
              </w:rPr>
            </w:pPr>
            <w:r>
              <w:rPr>
                <w:rFonts w:hint="eastAsia" w:ascii="宋体" w:hAnsi="宋体" w:cs="宋体"/>
                <w:b/>
                <w:szCs w:val="21"/>
              </w:rPr>
            </w:r>
            <w:r/>
          </w:p>
        </w:tc>
        <w:tc>
          <w:tcPr>
            <w:tcW w:w="720" w:type="pct"/>
            <w:vAlign w:val="center"/>
            <w:textDirection w:val="lrTb"/>
            <w:noWrap w:val="false"/>
          </w:tcPr>
          <w:p>
            <w:pPr>
              <w:rPr>
                <w:rFonts w:hint="eastAsia" w:ascii="宋体" w:hAnsi="宋体" w:cs="宋体"/>
                <w:b/>
                <w:szCs w:val="21"/>
              </w:rPr>
            </w:pPr>
            <w:r>
              <w:rPr>
                <w:rFonts w:hint="eastAsia" w:ascii="宋体" w:hAnsi="宋体" w:cs="宋体"/>
                <w:b/>
                <w:szCs w:val="21"/>
              </w:rPr>
            </w:r>
            <w:r/>
          </w:p>
        </w:tc>
      </w:tr>
      <w:tr>
        <w:trPr>
          <w:trHeight w:val="582"/>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2"/>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2"/>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2"/>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t xml:space="preserve">……</w:t>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bl>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pStyle w:val="932"/>
        <w:rPr>
          <w:rFonts w:hint="eastAsia" w:ascii="宋体" w:hAnsi="宋体" w:eastAsia="宋体" w:cs="宋体"/>
          <w:sz w:val="32"/>
        </w:rPr>
      </w:pPr>
      <w:r/>
      <w:bookmarkStart w:id="74" w:name="_Toc23420"/>
      <w:r/>
      <w:bookmarkStart w:id="75" w:name="_Toc23068"/>
      <w:r/>
      <w:bookmarkStart w:id="76" w:name="_Toc29406"/>
      <w:r>
        <w:rPr>
          <w:rFonts w:hint="eastAsia" w:ascii="宋体" w:hAnsi="宋体" w:eastAsia="宋体" w:cs="宋体"/>
          <w:sz w:val="32"/>
        </w:rPr>
        <w:t xml:space="preserve">三、非实质性响应对照表</w:t>
      </w:r>
      <w:bookmarkEnd w:id="74"/>
      <w:r/>
      <w:bookmarkEnd w:id="75"/>
      <w:r/>
      <w:bookmarkEnd w:id="76"/>
      <w:r/>
      <w:r/>
    </w:p>
    <w:p>
      <w:pPr>
        <w:rPr>
          <w:rFonts w:hint="eastAsia" w:ascii="宋体" w:hAnsi="宋体" w:cs="宋体"/>
          <w:b/>
          <w:sz w:val="32"/>
          <w:szCs w:val="32"/>
        </w:rPr>
      </w:pPr>
      <w:r>
        <w:rPr>
          <w:rFonts w:hint="eastAsia" w:ascii="宋体" w:hAnsi="宋体" w:cs="宋体"/>
          <w:b/>
          <w:sz w:val="32"/>
          <w:szCs w:val="32"/>
        </w:rPr>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hint="eastAsia" w:ascii="宋体" w:hAnsi="宋体" w:cs="宋体"/>
                <w:b/>
                <w:szCs w:val="21"/>
              </w:rPr>
            </w:pPr>
            <w:r>
              <w:rPr>
                <w:rFonts w:hint="eastAsia" w:ascii="宋体" w:hAnsi="宋体" w:cs="宋体"/>
                <w:b/>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643"/>
        </w:trPr>
        <w:tc>
          <w:tcPr>
            <w:tcW w:w="355" w:type="pct"/>
            <w:vAlign w:val="center"/>
            <w:textDirection w:val="lrTb"/>
            <w:noWrap w:val="false"/>
          </w:tcPr>
          <w:p>
            <w:pPr>
              <w:jc w:val="center"/>
              <w:rPr>
                <w:rFonts w:hint="eastAsia" w:ascii="宋体" w:hAnsi="宋体" w:cs="宋体"/>
                <w:b/>
                <w:szCs w:val="21"/>
              </w:rPr>
            </w:pPr>
            <w:r>
              <w:rPr>
                <w:rFonts w:hint="eastAsia" w:ascii="宋体" w:hAnsi="宋体" w:cs="宋体"/>
                <w:szCs w:val="21"/>
              </w:rPr>
              <w:t xml:space="preserve">1</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szCs w:val="21"/>
              </w:rPr>
              <w:t xml:space="preserve">《残疾人福利性单位声明函》</w:t>
            </w:r>
            <w:r/>
          </w:p>
        </w:tc>
        <w:tc>
          <w:tcPr>
            <w:tcW w:w="924" w:type="pct"/>
            <w:vAlign w:val="center"/>
            <w:textDirection w:val="lrTb"/>
            <w:noWrap w:val="false"/>
          </w:tcPr>
          <w:p>
            <w:pPr>
              <w:rPr>
                <w:rFonts w:hint="eastAsia" w:ascii="宋体" w:hAnsi="宋体" w:cs="宋体"/>
                <w:b/>
                <w:szCs w:val="21"/>
              </w:rPr>
            </w:pPr>
            <w:r>
              <w:rPr>
                <w:rFonts w:hint="eastAsia" w:ascii="宋体" w:hAnsi="宋体" w:cs="宋体"/>
                <w:b/>
                <w:szCs w:val="21"/>
              </w:rPr>
            </w:r>
            <w:r/>
          </w:p>
        </w:tc>
        <w:tc>
          <w:tcPr>
            <w:tcW w:w="720" w:type="pct"/>
            <w:vAlign w:val="center"/>
            <w:textDirection w:val="lrTb"/>
            <w:noWrap w:val="false"/>
          </w:tcPr>
          <w:p>
            <w:pPr>
              <w:rPr>
                <w:rFonts w:hint="eastAsia" w:ascii="宋体" w:hAnsi="宋体" w:cs="宋体"/>
                <w:b/>
                <w:szCs w:val="21"/>
              </w:rPr>
            </w:pPr>
            <w:r>
              <w:rPr>
                <w:rFonts w:hint="eastAsia" w:ascii="宋体" w:hAnsi="宋体" w:cs="宋体"/>
                <w:b/>
                <w:szCs w:val="21"/>
              </w:rPr>
            </w:r>
            <w:r/>
          </w:p>
        </w:tc>
      </w:tr>
      <w:tr>
        <w:trPr>
          <w:trHeight w:val="643"/>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t xml:space="preserve">……</w:t>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643"/>
        </w:trPr>
        <w:tc>
          <w:tcPr>
            <w:tcW w:w="35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999" w:type="pct"/>
            <w:vAlign w:val="center"/>
            <w:textDirection w:val="lrTb"/>
            <w:noWrap w:val="false"/>
          </w:tcPr>
          <w:p>
            <w:pPr>
              <w:spacing w:line="0" w:lineRule="atLeast"/>
              <w:rPr>
                <w:rFonts w:hint="eastAsia" w:ascii="宋体" w:hAnsi="宋体" w:cs="宋体"/>
                <w:iCs/>
                <w:szCs w:val="21"/>
              </w:rPr>
            </w:pPr>
            <w:r>
              <w:rPr>
                <w:rFonts w:hint="eastAsia" w:ascii="宋体" w:hAnsi="宋体" w:cs="宋体"/>
                <w:iCs/>
                <w:szCs w:val="21"/>
              </w:rPr>
            </w:r>
            <w:r/>
          </w:p>
        </w:tc>
        <w:tc>
          <w:tcPr>
            <w:tcW w:w="92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720" w:type="pct"/>
            <w:vAlign w:val="center"/>
            <w:textDirection w:val="lrTb"/>
            <w:noWrap w:val="false"/>
          </w:tcPr>
          <w:p>
            <w:pPr>
              <w:rPr>
                <w:rFonts w:hint="eastAsia" w:ascii="宋体" w:hAnsi="宋体" w:cs="宋体"/>
                <w:szCs w:val="21"/>
              </w:rPr>
            </w:pPr>
            <w:r>
              <w:rPr>
                <w:rFonts w:hint="eastAsia" w:ascii="宋体" w:hAnsi="宋体" w:cs="宋体"/>
                <w:szCs w:val="21"/>
              </w:rPr>
            </w:r>
            <w:r/>
          </w:p>
        </w:tc>
      </w:tr>
    </w:tbl>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contextualSpacing/>
        <w:jc w:val="center"/>
        <w:spacing w:line="600" w:lineRule="exact"/>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rPr>
      </w:pPr>
      <w:r>
        <w:rPr>
          <w:rFonts w:hint="eastAsia" w:ascii="宋体" w:hAnsi="宋体" w:cs="宋体"/>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center"/>
        <w:spacing w:before="312" w:after="312"/>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（信息传输业）行业（不得对行业类别修改）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fldChar w:fldCharType="begin"/>
      </w:r>
      <w:r>
        <w:instrText xml:space="preserve"> HYPERLINK \l "br1" \o "#br1" </w:instrText>
      </w:r>
      <w:r>
        <w:fldChar w:fldCharType="separate"/>
      </w:r>
      <w:r>
        <w:rPr>
          <w:rFonts w:hint="eastAsia" w:ascii="宋体" w:hAnsi="宋体" w:cs="宋体"/>
          <w:spacing w:val="-1"/>
          <w:szCs w:val="21"/>
          <w:vertAlign w:val="superscript"/>
        </w:rPr>
        <w:t xml:space="preserve">1</w:t>
      </w:r>
      <w:r>
        <w:rPr>
          <w:rFonts w:hint="eastAsia" w:ascii="宋体" w:hAnsi="宋体" w:cs="宋体"/>
          <w:spacing w:val="-1"/>
          <w:szCs w:val="21"/>
          <w:vertAlign w:val="superscript"/>
        </w:rPr>
        <w:fldChar w:fldCharType="end"/>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（信息传输业）行业（不得对行业类别修改）；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rPr>
          <w:rStyle w:val="958"/>
          <w:rFonts w:hint="eastAsia" w:ascii="宋体" w:hAnsi="宋体" w:cs="宋体"/>
          <w:szCs w:val="21"/>
        </w:rPr>
      </w:pPr>
      <w:r>
        <w:rPr>
          <w:rStyle w:val="958"/>
          <w:rFonts w:hint="eastAsia" w:ascii="宋体" w:hAnsi="宋体" w:cs="宋体"/>
          <w:szCs w:val="21"/>
        </w:rPr>
        <w:br w:type="page" w:clear="all"/>
      </w:r>
      <w:r/>
    </w:p>
    <w:p>
      <w:pPr>
        <w:jc w:val="center"/>
        <w:rPr>
          <w:rStyle w:val="958"/>
          <w:rFonts w:hint="eastAsia" w:ascii="宋体" w:hAnsi="宋体" w:cs="宋体"/>
          <w:szCs w:val="21"/>
        </w:rPr>
      </w:pPr>
      <w:r>
        <w:rPr>
          <w:rStyle w:val="958"/>
          <w:rFonts w:hint="eastAsia" w:ascii="宋体" w:hAnsi="宋体" w:cs="宋体"/>
          <w:szCs w:val="21"/>
        </w:rPr>
        <w:t xml:space="preserve">中小微企业划型标准</w:t>
      </w:r>
      <w:r/>
    </w:p>
    <w:p>
      <w:pPr>
        <w:pStyle w:val="953"/>
        <w:ind w:firstLine="420"/>
        <w:spacing w:before="300" w:after="452" w:line="360" w:lineRule="auto"/>
        <w:widowControl/>
        <w:rPr>
          <w:rFonts w:hint="eastAsia" w:ascii="宋体" w:hAnsi="宋体" w:cs="宋体"/>
          <w:sz w:val="21"/>
          <w:szCs w:val="21"/>
        </w:rPr>
      </w:pPr>
      <w:r>
        <w:rPr>
          <w:rFonts w:hint="eastAsia" w:ascii="宋体" w:hAnsi="宋体" w:cs="宋体"/>
          <w:sz w:val="21"/>
          <w:szCs w:val="21"/>
        </w:rPr>
        <w:t xml:space="preserve">    </w:t>
      </w:r>
      <w:r>
        <w:rPr>
          <w:rStyle w:val="958"/>
          <w:rFonts w:hint="eastAsia" w:ascii="宋体" w:hAnsi="宋体" w:cs="宋体"/>
          <w:sz w:val="21"/>
          <w:szCs w:val="21"/>
        </w:rPr>
        <w:t xml:space="preserve">中小微企业划型标准如下：</w:t>
      </w:r>
      <w:r/>
    </w:p>
    <w:tbl>
      <w:tblPr>
        <w:tblStyle w:val="754"/>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53"/>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3"/>
              <w:ind w:firstLine="420"/>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hint="eastAsia" w:ascii="宋体" w:hAnsi="宋体" w:cs="宋体"/>
                <w:sz w:val="21"/>
                <w:szCs w:val="21"/>
              </w:rPr>
            </w:pPr>
            <w:r>
              <w:rPr>
                <w:rStyle w:val="958"/>
                <w:rFonts w:hint="eastAsia" w:ascii="宋体" w:hAnsi="宋体" w:cs="宋体"/>
                <w:sz w:val="21"/>
                <w:szCs w:val="21"/>
              </w:rPr>
              <w:t xml:space="preserve">X＜10</w:t>
            </w:r>
            <w:r/>
          </w:p>
        </w:tc>
      </w:tr>
    </w:tbl>
    <w:p>
      <w:pPr>
        <w:pStyle w:val="953"/>
        <w:ind w:firstLine="810"/>
        <w:spacing w:before="300" w:after="452" w:line="360" w:lineRule="auto"/>
        <w:widowControl/>
        <w:rPr>
          <w:rStyle w:val="958"/>
          <w:rFonts w:hint="eastAsia" w:ascii="宋体" w:hAnsi="宋体" w:cs="宋体"/>
          <w:sz w:val="21"/>
          <w:szCs w:val="21"/>
        </w:rPr>
      </w:pPr>
      <w:r>
        <w:rPr>
          <w:rStyle w:val="958"/>
          <w:rFonts w:hint="eastAsia" w:ascii="宋体"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33"/>
        <w:rPr>
          <w:rFonts w:hint="eastAsia" w:ascii="宋体" w:hAnsi="宋体" w:cs="宋体"/>
        </w:rPr>
      </w:pPr>
      <w:r>
        <w:rPr>
          <w:rStyle w:val="958"/>
          <w:rFonts w:hint="eastAsia" w:ascii="宋体" w:hAnsi="宋体" w:cs="宋体"/>
          <w:b w:val="0"/>
          <w:sz w:val="21"/>
          <w:szCs w:val="21"/>
        </w:rPr>
        <w:br w:type="page" w:clear="all"/>
      </w:r>
      <w:r/>
    </w:p>
    <w:p>
      <w:pPr>
        <w:ind w:firstLine="2726"/>
        <w:spacing w:line="360" w:lineRule="auto"/>
        <w:rPr>
          <w:rFonts w:hint="eastAsia" w:ascii="宋体" w:hAnsi="宋体" w:cs="宋体"/>
          <w:b/>
          <w:bCs/>
        </w:rPr>
      </w:pPr>
      <w:r>
        <w:rPr>
          <w:rFonts w:hint="eastAsia" w:ascii="宋体" w:hAnsi="宋体" w:cs="宋体"/>
          <w:b/>
          <w:bCs/>
        </w:rPr>
        <w:t xml:space="preserve">残疾人福利性单位声明函</w:t>
      </w:r>
      <w:r/>
    </w:p>
    <w:p>
      <w:pPr>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ind w:firstLine="420"/>
        <w:spacing w:line="588" w:lineRule="exact"/>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本单位在本次政府采购活动中提供的残疾人福利单位产品报价合计为人民币（大写）圆整（￥：     ）。</w:t>
      </w:r>
      <w:r/>
    </w:p>
    <w:p>
      <w:pPr>
        <w:ind w:firstLine="420"/>
        <w:spacing w:line="588"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588" w:lineRule="exact"/>
        <w:rPr>
          <w:rFonts w:hint="eastAsia" w:ascii="宋体" w:hAnsi="宋体" w:cs="宋体"/>
          <w:szCs w:val="21"/>
        </w:rPr>
      </w:pPr>
      <w:r>
        <w:rPr>
          <w:rFonts w:hint="eastAsia" w:ascii="宋体" w:hAnsi="宋体" w:cs="宋体"/>
          <w:szCs w:val="21"/>
        </w:rPr>
      </w:r>
      <w:r/>
    </w:p>
    <w:p>
      <w:pPr>
        <w:ind w:firstLine="420"/>
        <w:spacing w:line="588" w:lineRule="exact"/>
        <w:rPr>
          <w:rFonts w:hint="eastAsia"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s="宋体"/>
          <w:spacing w:val="6"/>
          <w:szCs w:val="21"/>
        </w:rPr>
      </w:pPr>
      <w:r>
        <w:rPr>
          <w:rFonts w:hint="eastAsia" w:ascii="宋体" w:hAnsi="宋体" w:cs="宋体"/>
          <w:spacing w:val="6"/>
          <w:szCs w:val="21"/>
        </w:rPr>
      </w:r>
      <w:r/>
    </w:p>
    <w:p>
      <w:pPr>
        <w:ind w:right="1560" w:firstLine="420"/>
        <w:jc w:val="center"/>
        <w:spacing w:line="588" w:lineRule="exact"/>
        <w:tabs>
          <w:tab w:val="left" w:pos="4860" w:leader="none"/>
        </w:tabs>
        <w:rPr>
          <w:rFonts w:hint="eastAsia" w:ascii="宋体" w:hAnsi="宋体" w:cs="宋体"/>
          <w:szCs w:val="21"/>
        </w:rPr>
      </w:pPr>
      <w:r>
        <w:rPr>
          <w:rFonts w:hint="eastAsia" w:ascii="宋体" w:hAnsi="宋体" w:cs="宋体"/>
          <w:szCs w:val="21"/>
        </w:rPr>
        <w:t xml:space="preserve">               供应商全称（盖章）：</w:t>
      </w:r>
      <w:r/>
    </w:p>
    <w:p>
      <w:pPr>
        <w:ind w:right="1560" w:firstLine="420"/>
        <w:jc w:val="center"/>
        <w:spacing w:line="588" w:lineRule="exact"/>
        <w:tabs>
          <w:tab w:val="left" w:pos="4860" w:leader="none"/>
        </w:tabs>
        <w:rPr>
          <w:rFonts w:hint="eastAsia" w:ascii="宋体" w:hAnsi="宋体" w:cs="宋体"/>
          <w:szCs w:val="21"/>
        </w:rPr>
      </w:pPr>
      <w:r>
        <w:rPr>
          <w:rFonts w:hint="eastAsia" w:ascii="宋体" w:hAnsi="宋体" w:cs="宋体"/>
          <w:szCs w:val="21"/>
        </w:rPr>
        <w:t xml:space="preserve">                              日  期：</w:t>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center"/>
        <w:rPr>
          <w:rFonts w:hint="eastAsia" w:ascii="宋体" w:hAnsi="宋体" w:cs="宋体"/>
          <w:sz w:val="32"/>
        </w:rPr>
      </w:pPr>
      <w:r>
        <w:rPr>
          <w:rFonts w:hint="eastAsia" w:ascii="宋体" w:hAnsi="宋体" w:cs="宋体"/>
          <w:b/>
          <w:sz w:val="32"/>
          <w:szCs w:val="32"/>
        </w:rPr>
        <w:br w:type="page" w:clear="all"/>
      </w:r>
      <w:bookmarkStart w:id="77" w:name="_Toc25382"/>
      <w:r/>
      <w:bookmarkStart w:id="78" w:name="_Toc19910"/>
      <w:r>
        <w:rPr>
          <w:rFonts w:hint="eastAsia" w:ascii="宋体" w:hAnsi="宋体" w:cs="宋体"/>
          <w:b/>
          <w:bCs/>
          <w:sz w:val="32"/>
          <w:szCs w:val="44"/>
        </w:rPr>
        <w:t xml:space="preserve">四、开标一览表</w:t>
      </w:r>
      <w:bookmarkEnd w:id="77"/>
      <w:r/>
      <w:bookmarkEnd w:id="78"/>
      <w:r/>
      <w:r/>
    </w:p>
    <w:p>
      <w:pPr>
        <w:ind w:firstLine="480"/>
        <w:spacing w:line="360" w:lineRule="auto"/>
        <w:rPr>
          <w:rFonts w:hint="eastAsia" w:ascii="宋体" w:hAnsi="宋体" w:cs="宋体"/>
          <w:szCs w:val="21"/>
        </w:rPr>
      </w:pPr>
      <w:r>
        <w:rPr>
          <w:rFonts w:hint="eastAsia" w:ascii="宋体" w:hAnsi="宋体" w:cs="宋体"/>
          <w:szCs w:val="21"/>
        </w:rPr>
        <w:t xml:space="preserve">项目名称：</w:t>
      </w:r>
      <w:r/>
    </w:p>
    <w:p>
      <w:pPr>
        <w:ind w:firstLine="480"/>
        <w:spacing w:line="360" w:lineRule="auto"/>
        <w:rPr>
          <w:rFonts w:hint="eastAsia" w:ascii="宋体" w:hAnsi="宋体" w:cs="宋体"/>
          <w:szCs w:val="21"/>
        </w:rPr>
      </w:pPr>
      <w:r>
        <w:rPr>
          <w:rFonts w:hint="eastAsia" w:ascii="宋体" w:hAnsi="宋体" w:cs="宋体"/>
          <w:szCs w:val="21"/>
        </w:rPr>
        <w:t xml:space="preserve">项目编号：</w:t>
      </w:r>
      <w:r/>
    </w:p>
    <w:p>
      <w:pPr>
        <w:ind w:firstLine="480"/>
        <w:spacing w:line="360" w:lineRule="auto"/>
        <w:rPr>
          <w:rFonts w:hint="eastAsia" w:ascii="宋体" w:hAnsi="宋体" w:cs="宋体"/>
          <w:szCs w:val="21"/>
        </w:rPr>
      </w:pPr>
      <w:r>
        <w:rPr>
          <w:rFonts w:hint="eastAsia" w:ascii="宋体" w:hAnsi="宋体" w:cs="宋体"/>
          <w:szCs w:val="21"/>
        </w:rPr>
        <w:t xml:space="preserve">分包号(如有)： </w:t>
      </w:r>
      <w:r/>
    </w:p>
    <w:p>
      <w:pPr>
        <w:ind w:firstLine="480"/>
        <w:rPr>
          <w:rFonts w:hint="eastAsia" w:ascii="宋体" w:hAnsi="宋体" w:cs="宋体"/>
          <w:szCs w:val="21"/>
        </w:rPr>
      </w:pPr>
      <w:r>
        <w:rPr>
          <w:rFonts w:hint="eastAsia" w:ascii="宋体" w:hAnsi="宋体" w:cs="宋体"/>
          <w:szCs w:val="21"/>
        </w:rPr>
      </w:r>
      <w:r/>
    </w:p>
    <w:tbl>
      <w:tblPr>
        <w:tblStyle w:val="75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41"/>
              <w:spacing w:line="300" w:lineRule="auto"/>
              <w:rPr>
                <w:rFonts w:hint="eastAsia" w:ascii="宋体" w:hAnsi="宋体" w:eastAsia="宋体" w:cs="宋体"/>
                <w:sz w:val="21"/>
                <w:szCs w:val="21"/>
              </w:rPr>
            </w:pPr>
            <w:r>
              <w:rPr>
                <w:rFonts w:hint="eastAsia" w:ascii="宋体" w:hAnsi="宋体" w:eastAsia="宋体" w:cs="宋体"/>
                <w:sz w:val="21"/>
                <w:szCs w:val="21"/>
              </w:rPr>
              <w:t xml:space="preserve">  投标货物及服务名称</w:t>
            </w:r>
            <w:r/>
          </w:p>
        </w:tc>
        <w:tc>
          <w:tcPr>
            <w:tcW w:w="360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投标总报价</w:t>
            </w:r>
            <w:r/>
          </w:p>
        </w:tc>
      </w:tr>
      <w:tr>
        <w:trPr>
          <w:cantSplit/>
          <w:trHeight w:val="1697"/>
        </w:trPr>
        <w:tc>
          <w:tcPr>
            <w:tcW w:w="1395" w:type="pct"/>
            <w:vAlign w:val="center"/>
            <w:textDirection w:val="lrTb"/>
            <w:noWrap w:val="false"/>
          </w:tcPr>
          <w:p>
            <w:pPr>
              <w:pStyle w:val="941"/>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W w:w="3604" w:type="pct"/>
            <w:vAlign w:val="center"/>
            <w:textDirection w:val="lrTb"/>
            <w:noWrap w:val="false"/>
          </w:tcPr>
          <w:p>
            <w:pPr>
              <w:pStyle w:val="968"/>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w:t>
            </w:r>
            <w:r/>
          </w:p>
          <w:p>
            <w:pPr>
              <w:pStyle w:val="968"/>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                             （人民币：元）</w:t>
            </w:r>
            <w:r/>
          </w:p>
          <w:p>
            <w:pPr>
              <w:pStyle w:val="968"/>
              <w:ind w:firstLine="0"/>
              <w:spacing w:before="0" w:after="0" w:line="500" w:lineRule="exact"/>
              <w:rPr>
                <w:rFonts w:hint="eastAsia" w:ascii="宋体" w:hAnsi="宋体" w:cs="宋体"/>
                <w:sz w:val="21"/>
                <w:szCs w:val="21"/>
              </w:rPr>
            </w:pPr>
            <w:r>
              <w:rPr>
                <w:rFonts w:hint="eastAsia" w:ascii="宋体" w:hAnsi="宋体" w:cs="宋体"/>
                <w:sz w:val="21"/>
                <w:szCs w:val="21"/>
              </w:rPr>
            </w:r>
            <w:r/>
          </w:p>
        </w:tc>
      </w:tr>
    </w:tbl>
    <w:p>
      <w:pPr>
        <w:rPr>
          <w:rFonts w:hint="eastAsia" w:ascii="宋体" w:hAnsi="宋体" w:cs="宋体"/>
          <w:szCs w:val="21"/>
        </w:rPr>
      </w:pPr>
      <w:r>
        <w:rPr>
          <w:rFonts w:hint="eastAsia" w:ascii="宋体" w:hAnsi="宋体" w:cs="宋体"/>
          <w:szCs w:val="21"/>
        </w:rPr>
      </w:r>
      <w:r/>
    </w:p>
    <w:p>
      <w:pPr>
        <w:ind w:firstLine="480"/>
        <w:rPr>
          <w:rFonts w:hint="eastAsia" w:ascii="宋体" w:hAnsi="宋体" w:cs="宋体"/>
          <w:sz w:val="32"/>
          <w:szCs w:val="32"/>
        </w:rPr>
      </w:pPr>
      <w:r>
        <w:rPr>
          <w:rFonts w:hint="eastAsia" w:ascii="宋体" w:hAnsi="宋体" w:cs="宋体"/>
          <w:szCs w:val="21"/>
        </w:rPr>
        <w:t xml:space="preserve">                                          </w:t>
      </w:r>
      <w:r/>
    </w:p>
    <w:p>
      <w:pPr>
        <w:pStyle w:val="938"/>
        <w:ind w:firstLine="640"/>
        <w:rPr>
          <w:rFonts w:hint="eastAsia" w:ascii="宋体" w:hAnsi="宋体" w:cs="宋体"/>
          <w:sz w:val="32"/>
          <w:szCs w:val="32"/>
        </w:rPr>
      </w:pPr>
      <w:r>
        <w:rPr>
          <w:rFonts w:hint="eastAsia" w:ascii="宋体" w:hAnsi="宋体" w:cs="宋体"/>
          <w:sz w:val="32"/>
          <w:szCs w:val="32"/>
        </w:rPr>
      </w:r>
      <w:r/>
    </w:p>
    <w:p>
      <w:pPr>
        <w:pStyle w:val="938"/>
        <w:ind w:firstLine="640"/>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rPr>
      </w:pPr>
      <w:r>
        <w:rPr>
          <w:rFonts w:hint="eastAsia" w:ascii="宋体" w:hAnsi="宋体" w:cs="宋体"/>
          <w:sz w:val="32"/>
          <w:szCs w:val="32"/>
        </w:rPr>
        <w:br w:type="page" w:clear="all"/>
      </w:r>
      <w:bookmarkStart w:id="79" w:name="_Toc20323"/>
      <w:r/>
      <w:bookmarkStart w:id="80" w:name="_Toc17891"/>
      <w:r>
        <w:rPr>
          <w:rFonts w:hint="eastAsia" w:ascii="宋体" w:hAnsi="宋体" w:cs="宋体"/>
          <w:b/>
          <w:bCs/>
          <w:sz w:val="32"/>
          <w:szCs w:val="44"/>
        </w:rPr>
        <w:t xml:space="preserve">五、投标产品配置及分项报价表</w:t>
      </w:r>
      <w:bookmarkEnd w:id="79"/>
      <w:r/>
      <w:bookmarkEnd w:id="80"/>
      <w:r/>
      <w:r/>
    </w:p>
    <w:tbl>
      <w:tblPr>
        <w:tblStyle w:val="754"/>
        <w:tblW w:w="9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24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7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20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32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9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14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r>
      <w:tr>
        <w:trPr>
          <w:cantSplit/>
          <w:jc w:val="center"/>
          <w:trHeight w:val="313"/>
        </w:trPr>
        <w:tc>
          <w:tcPr>
            <w:tcW w:w="250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产品名称及规格、型号</w:t>
            </w:r>
            <w:r/>
          </w:p>
        </w:tc>
        <w:tc>
          <w:tcPr>
            <w:tcW w:w="124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W w:w="7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产地</w:t>
            </w:r>
            <w:r/>
          </w:p>
        </w:tc>
        <w:tc>
          <w:tcPr>
            <w:tcW w:w="120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交付期</w:t>
            </w:r>
            <w:r/>
          </w:p>
        </w:tc>
        <w:tc>
          <w:tcPr>
            <w:tcW w:w="132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w:t>
            </w:r>
            <w:r/>
          </w:p>
        </w:tc>
        <w:tc>
          <w:tcPr>
            <w:tcW w:w="9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单位</w:t>
            </w:r>
            <w:r/>
          </w:p>
        </w:tc>
        <w:tc>
          <w:tcPr>
            <w:tcW w:w="14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总价</w:t>
            </w:r>
            <w:r/>
          </w:p>
        </w:tc>
      </w:tr>
      <w:tr>
        <w:trPr>
          <w:cantSplit/>
          <w:jc w:val="center"/>
          <w:trHeight w:val="906"/>
        </w:trPr>
        <w:tc>
          <w:tcPr>
            <w:tcW w:w="2502"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249"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73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206"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9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463"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cantSplit/>
          <w:jc w:val="center"/>
          <w:trHeight w:val="906"/>
        </w:trPr>
        <w:tc>
          <w:tcPr>
            <w:tcW w:w="2502"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249"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73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206"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9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463"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cantSplit/>
          <w:jc w:val="center"/>
          <w:trHeight w:val="906"/>
        </w:trPr>
        <w:tc>
          <w:tcPr>
            <w:tcW w:w="2502"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249"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73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206"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9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463"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cantSplit/>
          <w:jc w:val="center"/>
          <w:trHeight w:val="573"/>
        </w:trPr>
        <w:tc>
          <w:tcPr>
            <w:tcW w:w="2502"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249"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73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206"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9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463"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cantSplit/>
          <w:jc w:val="center"/>
          <w:trHeight w:val="1019"/>
        </w:trPr>
        <w:tc>
          <w:tcPr>
            <w:tcW w:w="250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gridSpan w:val="5"/>
            <w:tcW w:w="5512" w:type="dxa"/>
            <w:textDirection w:val="lrTb"/>
            <w:noWrap w:val="false"/>
          </w:tcPr>
          <w:p>
            <w:pPr>
              <w:rPr>
                <w:rFonts w:hint="eastAsia" w:ascii="宋体" w:hAnsi="宋体" w:cs="宋体"/>
                <w:szCs w:val="21"/>
              </w:rPr>
            </w:pPr>
            <w:r>
              <w:rPr>
                <w:rFonts w:hint="eastAsia" w:ascii="宋体" w:hAnsi="宋体" w:cs="宋体"/>
                <w:szCs w:val="21"/>
              </w:rPr>
            </w:r>
            <w:r/>
          </w:p>
        </w:tc>
        <w:tc>
          <w:tcPr>
            <w:tcW w:w="1463" w:type="dxa"/>
            <w:textDirection w:val="lrTb"/>
            <w:noWrap w:val="false"/>
          </w:tcPr>
          <w:p>
            <w:pPr>
              <w:rPr>
                <w:rFonts w:hint="eastAsia" w:ascii="宋体" w:hAnsi="宋体" w:cs="宋体"/>
                <w:szCs w:val="21"/>
              </w:rPr>
            </w:pPr>
            <w:r>
              <w:rPr>
                <w:rFonts w:hint="eastAsia" w:ascii="宋体" w:hAnsi="宋体" w:cs="宋体"/>
                <w:szCs w:val="21"/>
              </w:rPr>
            </w:r>
            <w:r/>
          </w:p>
        </w:tc>
      </w:tr>
    </w:tbl>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jc w:val="left"/>
        <w:widowControl/>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br w:type="page" w:clear="all"/>
      </w:r>
      <w:r/>
    </w:p>
    <w:p>
      <w:pPr>
        <w:pStyle w:val="932"/>
        <w:rPr>
          <w:rFonts w:hint="eastAsia" w:ascii="宋体" w:hAnsi="宋体" w:eastAsia="宋体" w:cs="宋体"/>
          <w:sz w:val="32"/>
        </w:rPr>
      </w:pPr>
      <w:r/>
      <w:bookmarkStart w:id="81" w:name="_Toc16517"/>
      <w:r/>
      <w:bookmarkStart w:id="82" w:name="_Toc9678"/>
      <w:r/>
      <w:bookmarkStart w:id="83" w:name="_Toc5967"/>
      <w:r>
        <w:rPr>
          <w:rFonts w:hint="eastAsia" w:ascii="宋体" w:hAnsi="宋体" w:eastAsia="宋体" w:cs="宋体"/>
          <w:sz w:val="32"/>
        </w:rPr>
        <w:t xml:space="preserve">六、技术参数响应及偏离表</w:t>
      </w:r>
      <w:bookmarkEnd w:id="81"/>
      <w:r/>
      <w:bookmarkEnd w:id="82"/>
      <w:r/>
      <w:bookmarkEnd w:id="83"/>
      <w:r/>
      <w:r/>
    </w:p>
    <w:tbl>
      <w:tblPr>
        <w:tblStyle w:val="754"/>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5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招标要求</w:t>
            </w:r>
            <w:r/>
          </w:p>
        </w:tc>
        <w:tc>
          <w:tcPr>
            <w:tcW w:w="2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投标响应</w:t>
            </w:r>
            <w:r/>
          </w:p>
        </w:tc>
        <w:tc>
          <w:tcPr>
            <w:tcW w:w="145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c>
          <w:tcPr>
            <w:tcW w:w="121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证明材料</w:t>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55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701"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45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10"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注：1、按照基本技术要求详细填列。</w:t>
      </w:r>
      <w:r/>
    </w:p>
    <w:p>
      <w:pPr>
        <w:ind w:firstLine="480"/>
        <w:rPr>
          <w:rFonts w:hint="eastAsia" w:ascii="宋体" w:hAnsi="宋体" w:cs="宋体"/>
          <w:sz w:val="24"/>
          <w:szCs w:val="24"/>
        </w:rPr>
      </w:pPr>
      <w:r>
        <w:rPr>
          <w:rFonts w:hint="eastAsia" w:ascii="宋体" w:hAnsi="宋体" w:cs="宋体"/>
          <w:sz w:val="24"/>
          <w:szCs w:val="24"/>
        </w:rPr>
        <w:t xml:space="preserve">2、行数不够，可自行添加。</w:t>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rPr>
          <w:rFonts w:hint="eastAsia" w:ascii="宋体" w:hAnsi="宋体" w:cs="宋体"/>
          <w:sz w:val="32"/>
        </w:rPr>
      </w:pPr>
      <w:r>
        <w:rPr>
          <w:rFonts w:hint="eastAsia" w:ascii="宋体" w:hAnsi="宋体" w:cs="宋体"/>
          <w:sz w:val="32"/>
        </w:rPr>
        <w:br w:type="page" w:clear="all"/>
      </w:r>
      <w:bookmarkStart w:id="84" w:name="_Hlt26955054"/>
      <w:r/>
      <w:bookmarkEnd w:id="84"/>
      <w:r/>
      <w:bookmarkStart w:id="85" w:name="_Toc16820"/>
      <w:r/>
      <w:bookmarkStart w:id="86" w:name="_Toc32154"/>
      <w:r>
        <w:rPr>
          <w:rFonts w:hint="eastAsia" w:ascii="宋体" w:hAnsi="宋体" w:cs="宋体"/>
          <w:b/>
          <w:bCs/>
          <w:sz w:val="32"/>
          <w:szCs w:val="44"/>
        </w:rPr>
        <w:t xml:space="preserve">七、商务条款响应及偏离表</w:t>
      </w:r>
      <w:bookmarkEnd w:id="85"/>
      <w:r/>
      <w:bookmarkEnd w:id="86"/>
      <w:r/>
      <w:r/>
    </w:p>
    <w:tbl>
      <w:tblPr>
        <w:tblStyle w:val="754"/>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hint="eastAsia" w:ascii="宋体" w:hAnsi="宋体" w:cs="宋体"/>
                <w:szCs w:val="21"/>
              </w:rPr>
            </w:pPr>
            <w:r/>
            <w:bookmarkStart w:id="87" w:name="_Hlt26955056"/>
            <w:r/>
            <w:bookmarkEnd w:id="87"/>
            <w:r/>
            <w:bookmarkStart w:id="88" w:name="_Hlt26580838"/>
            <w:r/>
            <w:bookmarkEnd w:id="88"/>
            <w:r/>
            <w:bookmarkStart w:id="89" w:name="_Hlt26609391"/>
            <w:r/>
            <w:bookmarkEnd w:id="89"/>
            <w:r/>
            <w:bookmarkStart w:id="90" w:name="_Hlt26671372"/>
            <w:r/>
            <w:bookmarkEnd w:id="90"/>
            <w:r/>
            <w:bookmarkStart w:id="91" w:name="_Hlt26782999"/>
            <w:r/>
            <w:bookmarkEnd w:id="91"/>
            <w:r/>
            <w:bookmarkStart w:id="92" w:name="_Hlt26671343"/>
            <w:r/>
            <w:bookmarkEnd w:id="92"/>
            <w:r/>
            <w:bookmarkStart w:id="93" w:name="_Hlt24879081"/>
            <w:r/>
            <w:bookmarkEnd w:id="93"/>
            <w:r/>
            <w:bookmarkStart w:id="94" w:name="_Hlt26955064"/>
            <w:r/>
            <w:bookmarkEnd w:id="94"/>
            <w:r>
              <w:rPr>
                <w:rFonts w:hint="eastAsia" w:ascii="宋体" w:hAnsi="宋体" w:cs="宋体"/>
                <w:szCs w:val="21"/>
              </w:rPr>
              <w:t xml:space="preserve">项目</w:t>
            </w:r>
            <w:r/>
          </w:p>
        </w:tc>
        <w:tc>
          <w:tcPr>
            <w:tcW w:w="2122"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招标文件要求</w:t>
            </w:r>
            <w:r/>
          </w:p>
        </w:tc>
        <w:tc>
          <w:tcPr>
            <w:tcW w:w="1800"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是否响应</w:t>
            </w:r>
            <w:r/>
          </w:p>
        </w:tc>
        <w:tc>
          <w:tcPr>
            <w:tcW w:w="2561"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投标人的承诺或说明</w:t>
            </w:r>
            <w:r/>
          </w:p>
        </w:tc>
      </w:tr>
      <w:tr>
        <w:trPr>
          <w:trHeight w:val="624"/>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质保期</w:t>
            </w:r>
            <w:r/>
          </w:p>
        </w:tc>
        <w:tc>
          <w:tcPr>
            <w:tcW w:w="2122"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r>
      <w:tr>
        <w:trPr>
          <w:trHeight w:val="950"/>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售后技术服务要求</w:t>
            </w:r>
            <w:r/>
          </w:p>
        </w:tc>
        <w:tc>
          <w:tcPr>
            <w:tcW w:w="2122"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r>
      <w:tr>
        <w:trPr>
          <w:trHeight w:val="717"/>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交付时间</w:t>
            </w:r>
            <w:r/>
          </w:p>
        </w:tc>
        <w:tc>
          <w:tcPr>
            <w:tcW w:w="2122"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r>
      <w:tr>
        <w:trPr>
          <w:trHeight w:val="586"/>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交货方式</w:t>
            </w:r>
            <w:r/>
          </w:p>
        </w:tc>
        <w:tc>
          <w:tcPr>
            <w:tcW w:w="2122" w:type="dxa"/>
            <w:textDirection w:val="lrTb"/>
            <w:noWrap w:val="false"/>
          </w:tcPr>
          <w:p>
            <w:pP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r>
      <w:tr>
        <w:trPr>
          <w:trHeight w:val="613"/>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交货地点</w:t>
            </w:r>
            <w:r/>
          </w:p>
        </w:tc>
        <w:tc>
          <w:tcPr>
            <w:tcW w:w="2122" w:type="dxa"/>
            <w:textDirection w:val="lrTb"/>
            <w:noWrap w:val="false"/>
          </w:tcPr>
          <w:p>
            <w:pP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ind w:left="43"/>
              <w:jc w:val="center"/>
              <w:spacing w:before="156"/>
              <w:rPr>
                <w:rFonts w:hint="eastAsia" w:ascii="宋体" w:hAnsi="宋体" w:cs="宋体"/>
                <w:szCs w:val="21"/>
              </w:rPr>
            </w:pPr>
            <w:r>
              <w:rPr>
                <w:rFonts w:hint="eastAsia" w:ascii="宋体" w:hAnsi="宋体" w:cs="宋体"/>
                <w:szCs w:val="21"/>
              </w:rPr>
            </w:r>
            <w:r/>
          </w:p>
        </w:tc>
      </w:tr>
      <w:tr>
        <w:trPr>
          <w:trHeight w:val="584"/>
        </w:trPr>
        <w:tc>
          <w:tcPr>
            <w:tcW w:w="1935" w:type="dxa"/>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付款方式</w:t>
            </w:r>
            <w:r/>
          </w:p>
        </w:tc>
        <w:tc>
          <w:tcPr>
            <w:tcW w:w="2122" w:type="dxa"/>
            <w:textDirection w:val="lrTb"/>
            <w:noWrap w:val="false"/>
          </w:tcPr>
          <w:p>
            <w:pPr>
              <w:spacing w:before="156"/>
              <w:rPr>
                <w:rFonts w:hint="eastAsia" w:ascii="宋体" w:hAnsi="宋体" w:cs="宋体"/>
                <w:szCs w:val="21"/>
              </w:rPr>
            </w:pPr>
            <w:r>
              <w:rPr>
                <w:rFonts w:hint="eastAsia" w:ascii="宋体" w:hAnsi="宋体" w:cs="宋体"/>
                <w:szCs w:val="21"/>
              </w:rPr>
            </w:r>
            <w:r/>
          </w:p>
        </w:tc>
        <w:tc>
          <w:tcPr>
            <w:tcW w:w="1800"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2561" w:type="dxa"/>
            <w:textDirection w:val="lrTb"/>
            <w:noWrap w:val="false"/>
          </w:tcPr>
          <w:p>
            <w:pPr>
              <w:jc w:val="center"/>
              <w:spacing w:before="156"/>
              <w:rPr>
                <w:rFonts w:hint="eastAsia" w:ascii="宋体" w:hAnsi="宋体" w:cs="宋体"/>
                <w:szCs w:val="21"/>
              </w:rPr>
            </w:pPr>
            <w:r>
              <w:rPr>
                <w:rFonts w:hint="eastAsia" w:ascii="宋体" w:hAnsi="宋体" w:cs="宋体"/>
                <w:szCs w:val="21"/>
              </w:rPr>
            </w:r>
            <w:r/>
          </w:p>
        </w:tc>
      </w:tr>
    </w:tbl>
    <w:p>
      <w:pPr>
        <w:spacing w:line="480" w:lineRule="auto"/>
        <w:rPr>
          <w:rFonts w:hint="eastAsia" w:ascii="宋体" w:hAnsi="宋体" w:cs="宋体"/>
          <w:sz w:val="24"/>
        </w:rPr>
      </w:pPr>
      <w:r>
        <w:rPr>
          <w:rFonts w:hint="eastAsia" w:ascii="宋体" w:hAnsi="宋体" w:cs="宋体"/>
          <w:sz w:val="24"/>
        </w:rPr>
      </w:r>
      <w:r/>
    </w:p>
    <w:p>
      <w:pPr>
        <w:spacing w:line="480" w:lineRule="auto"/>
        <w:rPr>
          <w:rFonts w:hint="eastAsia" w:ascii="宋体" w:hAnsi="宋体" w:cs="宋体"/>
          <w:sz w:val="30"/>
        </w:rPr>
      </w:pPr>
      <w:r>
        <w:rPr>
          <w:rFonts w:hint="eastAsia" w:ascii="宋体" w:hAnsi="宋体" w:cs="宋体"/>
          <w:sz w:val="30"/>
        </w:rPr>
      </w:r>
      <w:r/>
    </w:p>
    <w:p>
      <w:pPr>
        <w:pStyle w:val="938"/>
        <w:ind w:firstLine="480"/>
        <w:rPr>
          <w:rFonts w:hint="eastAsia" w:ascii="宋体" w:hAnsi="宋体" w:cs="宋体"/>
          <w:sz w:val="24"/>
        </w:rPr>
      </w:pPr>
      <w:r/>
      <w:bookmarkStart w:id="95" w:name="_Hlt26955066"/>
      <w:r/>
      <w:bookmarkEnd w:id="95"/>
      <w:r/>
      <w:bookmarkStart w:id="96" w:name="_Hlt26671374"/>
      <w:r/>
      <w:bookmarkEnd w:id="96"/>
      <w:r/>
      <w:bookmarkStart w:id="97" w:name="_Hlt26609389"/>
      <w:r/>
      <w:bookmarkEnd w:id="97"/>
      <w:r/>
      <w:bookmarkStart w:id="98" w:name="_Toc462564146"/>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jc w:val="center"/>
        <w:rPr>
          <w:rFonts w:hint="eastAsia" w:ascii="宋体" w:hAnsi="宋体" w:cs="宋体"/>
          <w:b/>
          <w:bCs/>
          <w:sz w:val="32"/>
          <w:szCs w:val="44"/>
        </w:rPr>
      </w:pPr>
      <w:r>
        <w:rPr>
          <w:rFonts w:hint="eastAsia" w:ascii="宋体" w:hAnsi="宋体" w:cs="宋体"/>
          <w:sz w:val="24"/>
        </w:rPr>
        <w:br w:type="page" w:clear="all"/>
      </w:r>
      <w:r>
        <w:rPr>
          <w:rFonts w:hint="eastAsia" w:ascii="宋体" w:hAnsi="宋体" w:cs="宋体"/>
          <w:b/>
          <w:bCs/>
          <w:sz w:val="32"/>
          <w:szCs w:val="44"/>
        </w:rPr>
        <w:t xml:space="preserve">八、拟投入人员一览表</w:t>
      </w:r>
      <w:r/>
    </w:p>
    <w:tbl>
      <w:tblPr>
        <w:tblStyle w:val="7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szCs w:val="21"/>
              </w:rPr>
            </w:pPr>
            <w:r>
              <w:rPr>
                <w:rFonts w:hint="eastAsia" w:ascii="宋体" w:hAnsi="宋体" w:cs="宋体"/>
                <w:szCs w:val="21"/>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r>
        <w:trPr>
          <w:jc w:val="center"/>
          <w:trHeight w:val="483"/>
        </w:trPr>
        <w:tc>
          <w:tcPr>
            <w:tcW w:w="676"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0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55"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1573"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c>
          <w:tcPr>
            <w:tcW w:w="871" w:type="dxa"/>
            <w:vAlign w:val="center"/>
            <w:textDirection w:val="lrTb"/>
            <w:noWrap w:val="false"/>
          </w:tcPr>
          <w:p>
            <w:pPr>
              <w:ind w:right="-2"/>
              <w:jc w:val="center"/>
              <w:spacing w:line="360" w:lineRule="auto"/>
              <w:rPr>
                <w:rFonts w:hint="eastAsia" w:ascii="宋体" w:hAnsi="宋体" w:cs="宋体"/>
                <w:szCs w:val="21"/>
              </w:rPr>
            </w:pPr>
            <w:r>
              <w:rPr>
                <w:rFonts w:hint="eastAsia" w:ascii="宋体" w:hAnsi="宋体" w:cs="宋体"/>
                <w:szCs w:val="21"/>
              </w:rPr>
            </w:r>
            <w:r/>
          </w:p>
        </w:tc>
      </w:tr>
    </w:tbl>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r/>
    </w:p>
    <w:p>
      <w:pPr>
        <w:pStyle w:val="938"/>
        <w:ind w:firstLine="480"/>
        <w:rPr>
          <w:rFonts w:hint="eastAsia" w:ascii="宋体" w:hAnsi="宋体" w:cs="宋体"/>
          <w:sz w:val="24"/>
        </w:rPr>
      </w:pPr>
      <w:r>
        <w:rPr>
          <w:rFonts w:hint="eastAsia" w:ascii="宋体" w:hAnsi="宋体" w:cs="宋体"/>
          <w:sz w:val="24"/>
        </w:rPr>
      </w:r>
      <w:bookmarkEnd w:id="98"/>
      <w:r/>
      <w:r/>
    </w:p>
    <w:p>
      <w:pPr>
        <w:jc w:val="center"/>
        <w:widowControl/>
        <w:rPr>
          <w:rFonts w:hint="eastAsia" w:ascii="宋体" w:hAnsi="宋体" w:cs="宋体"/>
          <w:b/>
        </w:rPr>
      </w:pPr>
      <w:r/>
      <w:bookmarkStart w:id="99" w:name="_格式2__法定代表人授权书"/>
      <w:r/>
      <w:bookmarkEnd w:id="99"/>
      <w:r>
        <w:rPr>
          <w:rFonts w:hint="eastAsia" w:ascii="宋体" w:hAnsi="宋体" w:cs="宋体"/>
          <w:b/>
        </w:rPr>
        <w:br w:type="page" w:clear="all"/>
      </w:r>
      <w:r>
        <w:rPr>
          <w:rFonts w:hint="eastAsia" w:ascii="宋体" w:hAnsi="宋体" w:cs="宋体"/>
          <w:b/>
        </w:rPr>
        <w:t xml:space="preserve">主要标的信息（中标后将公示）</w:t>
      </w:r>
      <w:r/>
    </w:p>
    <w:p>
      <w:pPr>
        <w:spacing w:after="312" w:line="360" w:lineRule="auto"/>
        <w:rPr>
          <w:rFonts w:hint="eastAsia" w:ascii="宋体" w:hAnsi="宋体" w:cs="宋体"/>
          <w:b/>
        </w:rPr>
      </w:pPr>
      <w:r>
        <w:rPr>
          <w:rFonts w:hint="eastAsia" w:ascii="宋体" w:hAnsi="宋体" w:cs="宋体"/>
        </w:rPr>
        <w:t xml:space="preserve">投标人全称：</w:t>
      </w:r>
      <w:r/>
    </w:p>
    <w:tbl>
      <w:tblPr>
        <w:tblStyle w:val="75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widowControl/>
        <w:rPr>
          <w:rFonts w:hint="eastAsia"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hint="eastAsia" w:ascii="宋体" w:hAnsi="宋体" w:cs="宋体"/>
          <w:b/>
        </w:rPr>
      </w:pPr>
      <w:r>
        <w:rPr>
          <w:rFonts w:hint="eastAsia" w:ascii="宋体" w:hAnsi="宋体" w:cs="宋体"/>
          <w:b/>
        </w:rPr>
        <w:t xml:space="preserve">联合体协议（如有）</w:t>
      </w:r>
      <w:r/>
    </w:p>
    <w:p>
      <w:pPr>
        <w:ind w:firstLine="211"/>
        <w:jc w:val="cente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rPr>
      </w:pPr>
      <w:r>
        <w:rPr>
          <w:rFonts w:hint="eastAsia" w:ascii="宋体" w:hAnsi="宋体" w:cs="宋体"/>
        </w:rPr>
        <w:t xml:space="preserve">（联合体中各供应商全称）在此达成以下协议：</w:t>
      </w:r>
      <w:r/>
    </w:p>
    <w:p>
      <w:pPr>
        <w:ind w:firstLine="645"/>
        <w:spacing w:line="360" w:lineRule="auto"/>
        <w:rPr>
          <w:rFonts w:hint="eastAsia" w:ascii="宋体" w:hAnsi="宋体" w:cs="宋体"/>
        </w:rPr>
      </w:pPr>
      <w:r>
        <w:rPr>
          <w:rFonts w:hint="eastAsia" w:ascii="宋体" w:hAnsi="宋体" w:cs="宋体"/>
        </w:rPr>
        <w:t xml:space="preserve">1、我们自愿组成联合体，参加代理机构组织的采购编号为（项目编号）（项目全称）的政府采购活动。</w:t>
      </w:r>
      <w:r/>
    </w:p>
    <w:p>
      <w:pPr>
        <w:ind w:firstLine="645"/>
        <w:spacing w:line="360" w:lineRule="auto"/>
        <w:rPr>
          <w:rFonts w:hint="eastAsia" w:ascii="宋体" w:hAnsi="宋体" w:cs="宋体"/>
        </w:rPr>
      </w:pPr>
      <w:r>
        <w:rPr>
          <w:rFonts w:hint="eastAsia" w:ascii="宋体" w:hAnsi="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s="宋体"/>
        </w:rPr>
      </w:pPr>
      <w:r>
        <w:rPr>
          <w:rFonts w:hint="eastAsia" w:ascii="宋体" w:hAnsi="宋体" w:cs="宋体"/>
        </w:rPr>
      </w:r>
      <w:r/>
    </w:p>
    <w:p>
      <w:pPr>
        <w:ind w:firstLine="4620"/>
        <w:spacing w:line="360" w:lineRule="auto"/>
        <w:rPr>
          <w:rFonts w:hint="eastAsia" w:ascii="宋体" w:hAnsi="宋体" w:cs="宋体"/>
        </w:rPr>
      </w:pPr>
      <w:r>
        <w:rPr>
          <w:rFonts w:hint="eastAsia" w:ascii="宋体" w:hAnsi="宋体" w:cs="宋体"/>
        </w:rPr>
        <w:t xml:space="preserve">所有供应商全称：</w:t>
      </w:r>
      <w:r/>
    </w:p>
    <w:p>
      <w:pPr>
        <w:ind w:firstLine="645"/>
        <w:spacing w:line="360" w:lineRule="auto"/>
        <w:rPr>
          <w:rFonts w:hint="eastAsia" w:ascii="宋体" w:hAnsi="宋体" w:cs="宋体"/>
        </w:rPr>
      </w:pPr>
      <w:r>
        <w:rPr>
          <w:rFonts w:hint="eastAsia" w:ascii="宋体" w:hAnsi="宋体" w:cs="宋体"/>
        </w:rPr>
        <w:t xml:space="preserve">                                      法定代表人：  </w:t>
      </w:r>
      <w:r/>
    </w:p>
    <w:p>
      <w:pPr>
        <w:ind w:firstLine="4620"/>
        <w:spacing w:line="360" w:lineRule="auto"/>
        <w:rPr>
          <w:rFonts w:hint="eastAsia" w:ascii="宋体" w:hAnsi="宋体" w:cs="宋体"/>
        </w:rPr>
      </w:pPr>
      <w:r>
        <w:rPr>
          <w:rFonts w:hint="eastAsia" w:ascii="宋体" w:hAnsi="宋体" w:cs="宋体"/>
        </w:rPr>
        <w:t xml:space="preserve">日期：</w:t>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Calibri">
    <w:panose1 w:val="020F0502020204030204"/>
  </w:font>
  <w:font w:name="微软雅黑">
    <w:panose1 w:val="020B050302020402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pPr>
    <w:r>
      <w:rPr>
        <w:rFonts w:hint="eastAsia"/>
        <w:lang w:eastAsia="zh-CN"/>
      </w:rPr>
      <w:t xml:space="preserve">JSZC-321000-SWGC-G2025-0240号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pPr>
    <w:r>
      <w:rPr>
        <w:rFonts w:hint="eastAsia"/>
        <w:lang w:eastAsia="zh-CN"/>
      </w:rPr>
      <w:t xml:space="preserve">JSZC-321000-SWGC-G2025-0240号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753"/>
    <w:link w:val="744"/>
    <w:uiPriority w:val="9"/>
    <w:rPr>
      <w:rFonts w:ascii="Arial" w:hAnsi="Arial" w:eastAsia="Arial" w:cs="Arial"/>
      <w:sz w:val="40"/>
      <w:szCs w:val="40"/>
    </w:rPr>
  </w:style>
  <w:style w:type="character" w:styleId="707">
    <w:name w:val="Heading 2 Char"/>
    <w:basedOn w:val="753"/>
    <w:link w:val="745"/>
    <w:uiPriority w:val="9"/>
    <w:rPr>
      <w:rFonts w:ascii="Arial" w:hAnsi="Arial" w:eastAsia="Arial" w:cs="Arial"/>
      <w:sz w:val="34"/>
    </w:rPr>
  </w:style>
  <w:style w:type="character" w:styleId="708">
    <w:name w:val="Heading 3 Char"/>
    <w:basedOn w:val="753"/>
    <w:link w:val="746"/>
    <w:uiPriority w:val="9"/>
    <w:rPr>
      <w:rFonts w:ascii="Arial" w:hAnsi="Arial" w:eastAsia="Arial" w:cs="Arial"/>
      <w:sz w:val="30"/>
      <w:szCs w:val="30"/>
    </w:rPr>
  </w:style>
  <w:style w:type="character" w:styleId="709">
    <w:name w:val="Heading 4 Char"/>
    <w:basedOn w:val="753"/>
    <w:link w:val="747"/>
    <w:uiPriority w:val="9"/>
    <w:rPr>
      <w:rFonts w:ascii="Arial" w:hAnsi="Arial" w:eastAsia="Arial" w:cs="Arial"/>
      <w:b/>
      <w:bCs/>
      <w:sz w:val="26"/>
      <w:szCs w:val="26"/>
    </w:rPr>
  </w:style>
  <w:style w:type="character" w:styleId="710">
    <w:name w:val="Heading 5 Char"/>
    <w:basedOn w:val="753"/>
    <w:link w:val="748"/>
    <w:uiPriority w:val="9"/>
    <w:rPr>
      <w:rFonts w:ascii="Arial" w:hAnsi="Arial" w:eastAsia="Arial" w:cs="Arial"/>
      <w:b/>
      <w:bCs/>
      <w:sz w:val="24"/>
      <w:szCs w:val="24"/>
    </w:rPr>
  </w:style>
  <w:style w:type="character" w:styleId="711">
    <w:name w:val="Heading 6 Char"/>
    <w:basedOn w:val="753"/>
    <w:link w:val="749"/>
    <w:uiPriority w:val="9"/>
    <w:rPr>
      <w:rFonts w:ascii="Arial" w:hAnsi="Arial" w:eastAsia="Arial" w:cs="Arial"/>
      <w:b/>
      <w:bCs/>
      <w:sz w:val="22"/>
      <w:szCs w:val="22"/>
    </w:rPr>
  </w:style>
  <w:style w:type="character" w:styleId="712">
    <w:name w:val="Heading 7 Char"/>
    <w:basedOn w:val="753"/>
    <w:link w:val="750"/>
    <w:uiPriority w:val="9"/>
    <w:rPr>
      <w:rFonts w:ascii="Arial" w:hAnsi="Arial" w:eastAsia="Arial" w:cs="Arial"/>
      <w:b/>
      <w:bCs/>
      <w:i/>
      <w:iCs/>
      <w:sz w:val="22"/>
      <w:szCs w:val="22"/>
    </w:rPr>
  </w:style>
  <w:style w:type="character" w:styleId="713">
    <w:name w:val="Heading 8 Char"/>
    <w:basedOn w:val="753"/>
    <w:link w:val="751"/>
    <w:uiPriority w:val="9"/>
    <w:rPr>
      <w:rFonts w:ascii="Arial" w:hAnsi="Arial" w:eastAsia="Arial" w:cs="Arial"/>
      <w:i/>
      <w:iCs/>
      <w:sz w:val="22"/>
      <w:szCs w:val="22"/>
    </w:rPr>
  </w:style>
  <w:style w:type="character" w:styleId="714">
    <w:name w:val="Heading 9 Char"/>
    <w:basedOn w:val="753"/>
    <w:link w:val="752"/>
    <w:uiPriority w:val="9"/>
    <w:rPr>
      <w:rFonts w:ascii="Arial" w:hAnsi="Arial" w:eastAsia="Arial" w:cs="Arial"/>
      <w:i/>
      <w:iCs/>
      <w:sz w:val="21"/>
      <w:szCs w:val="21"/>
    </w:rPr>
  </w:style>
  <w:style w:type="character" w:styleId="715">
    <w:name w:val="Title Char"/>
    <w:basedOn w:val="753"/>
    <w:link w:val="775"/>
    <w:uiPriority w:val="10"/>
    <w:rPr>
      <w:sz w:val="48"/>
      <w:szCs w:val="48"/>
    </w:rPr>
  </w:style>
  <w:style w:type="character" w:styleId="716">
    <w:name w:val="Subtitle Char"/>
    <w:basedOn w:val="753"/>
    <w:link w:val="768"/>
    <w:uiPriority w:val="11"/>
    <w:rPr>
      <w:sz w:val="24"/>
      <w:szCs w:val="24"/>
    </w:rPr>
  </w:style>
  <w:style w:type="character" w:styleId="717">
    <w:name w:val="Quote Char"/>
    <w:link w:val="796"/>
    <w:uiPriority w:val="29"/>
    <w:rPr>
      <w:i/>
    </w:rPr>
  </w:style>
  <w:style w:type="character" w:styleId="718">
    <w:name w:val="Intense Quote Char"/>
    <w:link w:val="798"/>
    <w:uiPriority w:val="30"/>
    <w:rPr>
      <w:i/>
    </w:rPr>
  </w:style>
  <w:style w:type="character" w:styleId="719">
    <w:name w:val="Header Char"/>
    <w:basedOn w:val="753"/>
    <w:link w:val="765"/>
    <w:uiPriority w:val="99"/>
  </w:style>
  <w:style w:type="character" w:styleId="720">
    <w:name w:val="Caption Char"/>
    <w:basedOn w:val="757"/>
    <w:link w:val="764"/>
    <w:uiPriority w:val="99"/>
  </w:style>
  <w:style w:type="table" w:styleId="721">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Footnote Text Char"/>
    <w:link w:val="769"/>
    <w:uiPriority w:val="99"/>
    <w:rPr>
      <w:sz w:val="18"/>
    </w:rPr>
  </w:style>
  <w:style w:type="character" w:styleId="741">
    <w:name w:val="Endnote Text Char"/>
    <w:link w:val="763"/>
    <w:uiPriority w:val="99"/>
    <w:rPr>
      <w:sz w:val="20"/>
    </w:rPr>
  </w:style>
  <w:style w:type="paragraph" w:styleId="742">
    <w:name w:val="TOC Heading"/>
    <w:uiPriority w:val="39"/>
    <w:unhideWhenUsed/>
  </w:style>
  <w:style w:type="paragraph" w:styleId="743" w:default="1">
    <w:name w:val="Normal"/>
    <w:next w:val="755"/>
    <w:uiPriority w:val="0"/>
    <w:qFormat/>
    <w:pPr>
      <w:jc w:val="both"/>
      <w:widowControl w:val="off"/>
    </w:pPr>
    <w:rPr>
      <w:rFonts w:ascii="Calibri" w:hAnsi="Calibri" w:eastAsia="宋体" w:cs="Times New Roman"/>
      <w:sz w:val="21"/>
      <w:szCs w:val="22"/>
      <w:lang w:val="en-US" w:eastAsia="zh-CN" w:bidi="ar-SA"/>
    </w:rPr>
  </w:style>
  <w:style w:type="paragraph" w:styleId="744">
    <w:name w:val="Heading 1"/>
    <w:basedOn w:val="743"/>
    <w:next w:val="743"/>
    <w:link w:val="783"/>
    <w:uiPriority w:val="9"/>
    <w:qFormat/>
    <w:pPr>
      <w:jc w:val="center"/>
      <w:keepLines/>
      <w:keepNext/>
      <w:spacing w:line="360" w:lineRule="auto"/>
      <w:outlineLvl w:val="0"/>
    </w:pPr>
    <w:rPr>
      <w:rFonts w:ascii="Arial" w:hAnsi="Arial" w:cs="Arial"/>
      <w:b/>
      <w:sz w:val="30"/>
      <w:szCs w:val="40"/>
    </w:rPr>
  </w:style>
  <w:style w:type="paragraph" w:styleId="745">
    <w:name w:val="Heading 2"/>
    <w:basedOn w:val="743"/>
    <w:next w:val="743"/>
    <w:link w:val="784"/>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785"/>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786"/>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87"/>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88"/>
    <w:uiPriority w:val="9"/>
    <w:unhideWhenUsed/>
    <w:qFormat/>
    <w:pPr>
      <w:keepLines/>
      <w:keepNext/>
      <w:spacing w:before="320" w:after="200"/>
      <w:outlineLvl w:val="5"/>
    </w:pPr>
    <w:rPr>
      <w:rFonts w:ascii="Arial" w:hAnsi="Arial" w:eastAsia="Arial" w:cs="Arial"/>
      <w:b/>
      <w:bCs/>
      <w:sz w:val="22"/>
    </w:rPr>
  </w:style>
  <w:style w:type="paragraph" w:styleId="750">
    <w:name w:val="Heading 7"/>
    <w:basedOn w:val="743"/>
    <w:next w:val="743"/>
    <w:link w:val="789"/>
    <w:uiPriority w:val="9"/>
    <w:unhideWhenUsed/>
    <w:qFormat/>
    <w:pPr>
      <w:keepLines/>
      <w:keepNext/>
      <w:spacing w:before="320" w:after="200"/>
      <w:outlineLvl w:val="6"/>
    </w:pPr>
    <w:rPr>
      <w:rFonts w:ascii="Arial" w:hAnsi="Arial" w:eastAsia="Arial" w:cs="Arial"/>
      <w:b/>
      <w:bCs/>
      <w:i/>
      <w:iCs/>
      <w:sz w:val="22"/>
    </w:rPr>
  </w:style>
  <w:style w:type="paragraph" w:styleId="751">
    <w:name w:val="Heading 8"/>
    <w:basedOn w:val="743"/>
    <w:next w:val="743"/>
    <w:link w:val="790"/>
    <w:uiPriority w:val="9"/>
    <w:unhideWhenUsed/>
    <w:qFormat/>
    <w:pPr>
      <w:keepLines/>
      <w:keepNext/>
      <w:spacing w:before="320" w:after="200"/>
      <w:outlineLvl w:val="7"/>
    </w:pPr>
    <w:rPr>
      <w:rFonts w:ascii="Arial" w:hAnsi="Arial" w:eastAsia="Arial" w:cs="Arial"/>
      <w:i/>
      <w:iCs/>
      <w:sz w:val="22"/>
    </w:rPr>
  </w:style>
  <w:style w:type="paragraph" w:styleId="752">
    <w:name w:val="Heading 9"/>
    <w:basedOn w:val="743"/>
    <w:next w:val="743"/>
    <w:link w:val="791"/>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Body Text Indent"/>
    <w:basedOn w:val="743"/>
    <w:next w:val="743"/>
    <w:uiPriority w:val="0"/>
    <w:qFormat/>
    <w:pPr>
      <w:ind w:left="420"/>
      <w:spacing w:after="120"/>
    </w:pPr>
    <w:rPr>
      <w:rFonts w:ascii="等线" w:hAnsi="等线" w:eastAsia="等线"/>
    </w:rPr>
  </w:style>
  <w:style w:type="paragraph" w:styleId="756">
    <w:name w:val="toc 7"/>
    <w:basedOn w:val="743"/>
    <w:next w:val="743"/>
    <w:uiPriority w:val="39"/>
    <w:unhideWhenUsed/>
    <w:qFormat/>
    <w:pPr>
      <w:ind w:left="1701"/>
      <w:spacing w:after="57"/>
    </w:pPr>
  </w:style>
  <w:style w:type="paragraph" w:styleId="757">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3"/>
    <w:uiPriority w:val="99"/>
    <w:semiHidden/>
    <w:unhideWhenUsed/>
    <w:qFormat/>
    <w:pPr>
      <w:jc w:val="left"/>
    </w:pPr>
  </w:style>
  <w:style w:type="paragraph" w:styleId="759">
    <w:name w:val="Body Text"/>
    <w:basedOn w:val="743"/>
    <w:uiPriority w:val="0"/>
    <w:qFormat/>
    <w:pPr>
      <w:spacing w:after="120"/>
    </w:pPr>
    <w:rPr>
      <w:rFonts w:ascii="Times New Roman" w:hAnsi="Times New Roman"/>
    </w:rPr>
  </w:style>
  <w:style w:type="paragraph" w:styleId="760">
    <w:name w:val="toc 5"/>
    <w:basedOn w:val="743"/>
    <w:next w:val="743"/>
    <w:uiPriority w:val="39"/>
    <w:unhideWhenUsed/>
    <w:qFormat/>
    <w:pPr>
      <w:ind w:left="1134"/>
      <w:spacing w:after="57"/>
    </w:pPr>
  </w:style>
  <w:style w:type="paragraph" w:styleId="761">
    <w:name w:val="toc 3"/>
    <w:basedOn w:val="743"/>
    <w:next w:val="743"/>
    <w:uiPriority w:val="39"/>
    <w:unhideWhenUsed/>
    <w:qFormat/>
    <w:pPr>
      <w:ind w:left="567"/>
      <w:spacing w:after="57"/>
    </w:pPr>
  </w:style>
  <w:style w:type="paragraph" w:styleId="762">
    <w:name w:val="toc 8"/>
    <w:basedOn w:val="743"/>
    <w:next w:val="743"/>
    <w:uiPriority w:val="39"/>
    <w:unhideWhenUsed/>
    <w:qFormat/>
    <w:pPr>
      <w:ind w:left="1984"/>
      <w:spacing w:after="57"/>
    </w:pPr>
  </w:style>
  <w:style w:type="paragraph" w:styleId="763">
    <w:name w:val="endnote text"/>
    <w:basedOn w:val="743"/>
    <w:link w:val="929"/>
    <w:uiPriority w:val="99"/>
    <w:semiHidden/>
    <w:unhideWhenUsed/>
    <w:qFormat/>
    <w:rPr>
      <w:sz w:val="20"/>
    </w:rPr>
  </w:style>
  <w:style w:type="paragraph" w:styleId="764">
    <w:name w:val="Footer"/>
    <w:basedOn w:val="743"/>
    <w:link w:val="802"/>
    <w:uiPriority w:val="99"/>
    <w:unhideWhenUsed/>
    <w:qFormat/>
    <w:pPr>
      <w:tabs>
        <w:tab w:val="center" w:pos="7143" w:leader="none"/>
        <w:tab w:val="right" w:pos="14287" w:leader="none"/>
      </w:tabs>
    </w:pPr>
  </w:style>
  <w:style w:type="paragraph" w:styleId="765">
    <w:name w:val="Header"/>
    <w:basedOn w:val="743"/>
    <w:link w:val="800"/>
    <w:uiPriority w:val="99"/>
    <w:unhideWhenUsed/>
    <w:qFormat/>
    <w:pPr>
      <w:tabs>
        <w:tab w:val="center" w:pos="7143" w:leader="none"/>
        <w:tab w:val="right" w:pos="14287" w:leader="none"/>
      </w:tabs>
    </w:pPr>
  </w:style>
  <w:style w:type="paragraph" w:styleId="766">
    <w:name w:val="toc 1"/>
    <w:basedOn w:val="743"/>
    <w:next w:val="743"/>
    <w:uiPriority w:val="39"/>
    <w:unhideWhenUsed/>
    <w:qFormat/>
    <w:pPr>
      <w:spacing w:after="57"/>
    </w:pPr>
  </w:style>
  <w:style w:type="paragraph" w:styleId="767">
    <w:name w:val="toc 4"/>
    <w:basedOn w:val="743"/>
    <w:next w:val="743"/>
    <w:uiPriority w:val="39"/>
    <w:unhideWhenUsed/>
    <w:qFormat/>
    <w:pPr>
      <w:ind w:left="850"/>
      <w:spacing w:after="57"/>
    </w:pPr>
  </w:style>
  <w:style w:type="paragraph" w:styleId="768">
    <w:name w:val="Subtitle"/>
    <w:basedOn w:val="743"/>
    <w:next w:val="743"/>
    <w:link w:val="795"/>
    <w:uiPriority w:val="11"/>
    <w:qFormat/>
    <w:pPr>
      <w:spacing w:before="200" w:after="200"/>
    </w:pPr>
    <w:rPr>
      <w:sz w:val="24"/>
      <w:szCs w:val="24"/>
    </w:rPr>
  </w:style>
  <w:style w:type="paragraph" w:styleId="769">
    <w:name w:val="footnote text"/>
    <w:basedOn w:val="743"/>
    <w:link w:val="928"/>
    <w:uiPriority w:val="99"/>
    <w:semiHidden/>
    <w:unhideWhenUsed/>
    <w:qFormat/>
    <w:pPr>
      <w:spacing w:after="40"/>
    </w:pPr>
    <w:rPr>
      <w:sz w:val="18"/>
    </w:rPr>
  </w:style>
  <w:style w:type="paragraph" w:styleId="770">
    <w:name w:val="toc 6"/>
    <w:basedOn w:val="743"/>
    <w:next w:val="743"/>
    <w:uiPriority w:val="39"/>
    <w:unhideWhenUsed/>
    <w:qFormat/>
    <w:pPr>
      <w:ind w:left="1417"/>
      <w:spacing w:after="57"/>
    </w:pPr>
  </w:style>
  <w:style w:type="paragraph" w:styleId="771">
    <w:name w:val="table of figures"/>
    <w:basedOn w:val="743"/>
    <w:next w:val="743"/>
    <w:uiPriority w:val="99"/>
    <w:unhideWhenUsed/>
    <w:qFormat/>
  </w:style>
  <w:style w:type="paragraph" w:styleId="772">
    <w:name w:val="toc 2"/>
    <w:basedOn w:val="743"/>
    <w:next w:val="743"/>
    <w:uiPriority w:val="39"/>
    <w:unhideWhenUsed/>
    <w:qFormat/>
    <w:pPr>
      <w:ind w:left="283"/>
      <w:spacing w:after="57"/>
    </w:pPr>
  </w:style>
  <w:style w:type="paragraph" w:styleId="773">
    <w:name w:val="toc 9"/>
    <w:basedOn w:val="743"/>
    <w:next w:val="743"/>
    <w:uiPriority w:val="39"/>
    <w:unhideWhenUsed/>
    <w:qFormat/>
    <w:pPr>
      <w:ind w:left="2268"/>
      <w:spacing w:after="57"/>
    </w:pPr>
  </w:style>
  <w:style w:type="paragraph" w:styleId="774">
    <w:name w:val="Normal (Web)"/>
    <w:basedOn w:val="743"/>
    <w:uiPriority w:val="99"/>
    <w:semiHidden/>
    <w:unhideWhenUsed/>
    <w:qFormat/>
    <w:pPr>
      <w:jc w:val="left"/>
      <w:spacing w:beforeAutospacing="1" w:afterAutospacing="1"/>
    </w:pPr>
    <w:rPr>
      <w:sz w:val="24"/>
    </w:rPr>
  </w:style>
  <w:style w:type="paragraph" w:styleId="775">
    <w:name w:val="Title"/>
    <w:basedOn w:val="743"/>
    <w:next w:val="743"/>
    <w:link w:val="794"/>
    <w:uiPriority w:val="10"/>
    <w:qFormat/>
    <w:pPr>
      <w:contextualSpacing/>
      <w:spacing w:before="300" w:after="200"/>
    </w:pPr>
    <w:rPr>
      <w:sz w:val="48"/>
      <w:szCs w:val="48"/>
    </w:rPr>
  </w:style>
  <w:style w:type="paragraph" w:styleId="776">
    <w:name w:val="Body Text First Indent"/>
    <w:basedOn w:val="759"/>
    <w:uiPriority w:val="0"/>
    <w:unhideWhenUsed/>
    <w:qFormat/>
    <w:pPr>
      <w:ind w:firstLine="420"/>
    </w:pPr>
    <w:rPr>
      <w:szCs w:val="21"/>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annotation reference"/>
    <w:basedOn w:val="753"/>
    <w:uiPriority w:val="0"/>
    <w:qFormat/>
    <w:rPr>
      <w:sz w:val="21"/>
      <w:szCs w:val="21"/>
    </w:rPr>
  </w:style>
  <w:style w:type="character" w:styleId="781">
    <w:name w:val="footnote reference"/>
    <w:uiPriority w:val="99"/>
    <w:unhideWhenUsed/>
    <w:qFormat/>
    <w:rPr>
      <w:vertAlign w:val="superscript"/>
    </w:rPr>
  </w:style>
  <w:style w:type="paragraph" w:styleId="782" w:customStyle="1">
    <w:name w:val="Default"/>
    <w:next w:val="743"/>
    <w:uiPriority w:val="0"/>
    <w:qFormat/>
    <w:pPr>
      <w:widowControl w:val="off"/>
    </w:pPr>
    <w:rPr>
      <w:rFonts w:ascii="黑体" w:hAnsi="Times New Roman" w:eastAsia="黑体" w:cs="Times New Roman"/>
      <w:lang w:val="en-US" w:eastAsia="zh-CN" w:bidi="ar-SA"/>
    </w:rPr>
  </w:style>
  <w:style w:type="character" w:styleId="783" w:customStyle="1">
    <w:name w:val="标题 1 字符"/>
    <w:link w:val="744"/>
    <w:uiPriority w:val="9"/>
    <w:qFormat/>
    <w:rPr>
      <w:rFonts w:ascii="Arial" w:hAnsi="Arial" w:eastAsia="宋体" w:cs="Arial"/>
      <w:b/>
      <w:sz w:val="30"/>
      <w:szCs w:val="40"/>
    </w:rPr>
  </w:style>
  <w:style w:type="character" w:styleId="784" w:customStyle="1">
    <w:name w:val="标题 2 字符"/>
    <w:link w:val="745"/>
    <w:uiPriority w:val="9"/>
    <w:qFormat/>
    <w:rPr>
      <w:rFonts w:ascii="Arial" w:hAnsi="Arial" w:eastAsia="Arial" w:cs="Arial"/>
      <w:sz w:val="34"/>
    </w:rPr>
  </w:style>
  <w:style w:type="character" w:styleId="785" w:customStyle="1">
    <w:name w:val="标题 3 字符"/>
    <w:link w:val="746"/>
    <w:uiPriority w:val="9"/>
    <w:qFormat/>
    <w:rPr>
      <w:rFonts w:ascii="Arial" w:hAnsi="Arial" w:eastAsia="Arial" w:cs="Arial"/>
      <w:sz w:val="30"/>
      <w:szCs w:val="30"/>
    </w:rPr>
  </w:style>
  <w:style w:type="character" w:styleId="786" w:customStyle="1">
    <w:name w:val="标题 4 字符"/>
    <w:link w:val="747"/>
    <w:uiPriority w:val="9"/>
    <w:qFormat/>
    <w:rPr>
      <w:rFonts w:ascii="Arial" w:hAnsi="Arial" w:eastAsia="Arial" w:cs="Arial"/>
      <w:b/>
      <w:bCs/>
      <w:sz w:val="26"/>
      <w:szCs w:val="26"/>
    </w:rPr>
  </w:style>
  <w:style w:type="character" w:styleId="787" w:customStyle="1">
    <w:name w:val="标题 5 字符"/>
    <w:link w:val="748"/>
    <w:uiPriority w:val="9"/>
    <w:qFormat/>
    <w:rPr>
      <w:rFonts w:ascii="Arial" w:hAnsi="Arial" w:eastAsia="Arial" w:cs="Arial"/>
      <w:b/>
      <w:bCs/>
      <w:sz w:val="24"/>
      <w:szCs w:val="24"/>
    </w:rPr>
  </w:style>
  <w:style w:type="character" w:styleId="788" w:customStyle="1">
    <w:name w:val="标题 6 字符"/>
    <w:link w:val="749"/>
    <w:uiPriority w:val="9"/>
    <w:qFormat/>
    <w:rPr>
      <w:rFonts w:ascii="Arial" w:hAnsi="Arial" w:eastAsia="Arial" w:cs="Arial"/>
      <w:b/>
      <w:bCs/>
      <w:sz w:val="22"/>
      <w:szCs w:val="22"/>
    </w:rPr>
  </w:style>
  <w:style w:type="character" w:styleId="789" w:customStyle="1">
    <w:name w:val="标题 7 字符"/>
    <w:link w:val="750"/>
    <w:uiPriority w:val="9"/>
    <w:qFormat/>
    <w:rPr>
      <w:rFonts w:ascii="Arial" w:hAnsi="Arial" w:eastAsia="Arial" w:cs="Arial"/>
      <w:b/>
      <w:bCs/>
      <w:i/>
      <w:iCs/>
      <w:sz w:val="22"/>
      <w:szCs w:val="22"/>
    </w:rPr>
  </w:style>
  <w:style w:type="character" w:styleId="790" w:customStyle="1">
    <w:name w:val="标题 8 字符"/>
    <w:link w:val="751"/>
    <w:uiPriority w:val="9"/>
    <w:qFormat/>
    <w:rPr>
      <w:rFonts w:ascii="Arial" w:hAnsi="Arial" w:eastAsia="Arial" w:cs="Arial"/>
      <w:i/>
      <w:iCs/>
      <w:sz w:val="22"/>
      <w:szCs w:val="22"/>
    </w:rPr>
  </w:style>
  <w:style w:type="character" w:styleId="791" w:customStyle="1">
    <w:name w:val="标题 9 字符"/>
    <w:link w:val="752"/>
    <w:uiPriority w:val="9"/>
    <w:qFormat/>
    <w:rPr>
      <w:rFonts w:ascii="Arial" w:hAnsi="Arial" w:eastAsia="Arial" w:cs="Arial"/>
      <w:i/>
      <w:iCs/>
      <w:sz w:val="21"/>
      <w:szCs w:val="21"/>
    </w:rPr>
  </w:style>
  <w:style w:type="paragraph" w:styleId="792">
    <w:name w:val="List Paragraph"/>
    <w:basedOn w:val="743"/>
    <w:uiPriority w:val="34"/>
    <w:qFormat/>
    <w:pPr>
      <w:contextualSpacing/>
      <w:ind w:left="720"/>
    </w:pPr>
  </w:style>
  <w:style w:type="paragraph" w:styleId="793">
    <w:name w:val="No Spacing"/>
    <w:uiPriority w:val="1"/>
    <w:qFormat/>
    <w:rPr>
      <w:rFonts w:ascii="Times New Roman" w:hAnsi="Times New Roman" w:eastAsia="宋体" w:cs="Times New Roman"/>
      <w:lang w:val="en-US" w:eastAsia="zh-CN" w:bidi="ar-SA"/>
    </w:rPr>
  </w:style>
  <w:style w:type="character" w:styleId="794" w:customStyle="1">
    <w:name w:val="标题 字符"/>
    <w:link w:val="775"/>
    <w:uiPriority w:val="10"/>
    <w:qFormat/>
    <w:rPr>
      <w:sz w:val="48"/>
      <w:szCs w:val="48"/>
    </w:rPr>
  </w:style>
  <w:style w:type="character" w:styleId="795" w:customStyle="1">
    <w:name w:val="副标题 字符"/>
    <w:link w:val="768"/>
    <w:uiPriority w:val="11"/>
    <w:qFormat/>
    <w:rPr>
      <w:sz w:val="24"/>
      <w:szCs w:val="24"/>
    </w:rPr>
  </w:style>
  <w:style w:type="paragraph" w:styleId="796">
    <w:name w:val="Quote"/>
    <w:basedOn w:val="743"/>
    <w:next w:val="743"/>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43"/>
    <w:next w:val="743"/>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页眉 字符"/>
    <w:link w:val="765"/>
    <w:uiPriority w:val="99"/>
    <w:qFormat/>
  </w:style>
  <w:style w:type="character" w:styleId="801" w:customStyle="1">
    <w:name w:val="Footer Char"/>
    <w:uiPriority w:val="99"/>
    <w:qFormat/>
  </w:style>
  <w:style w:type="character" w:styleId="802" w:customStyle="1">
    <w:name w:val="页脚 字符"/>
    <w:link w:val="764"/>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字符"/>
    <w:link w:val="769"/>
    <w:uiPriority w:val="99"/>
    <w:qFormat/>
    <w:rPr>
      <w:sz w:val="18"/>
    </w:rPr>
  </w:style>
  <w:style w:type="character" w:styleId="929" w:customStyle="1">
    <w:name w:val="尾注文本 字符"/>
    <w:link w:val="763"/>
    <w:uiPriority w:val="99"/>
    <w:qFormat/>
    <w:rPr>
      <w:sz w:val="20"/>
    </w:rPr>
  </w:style>
  <w:style w:type="paragraph" w:styleId="930" w:customStyle="1">
    <w:name w:val="TOC 标题1"/>
    <w:uiPriority w:val="39"/>
    <w:unhideWhenUsed/>
    <w:qFormat/>
    <w:rPr>
      <w:rFonts w:ascii="Times New Roman" w:hAnsi="Times New Roman" w:eastAsia="宋体" w:cs="Times New Roman"/>
      <w:lang w:val="en-US" w:eastAsia="zh-CN" w:bidi="ar-SA"/>
    </w:rPr>
  </w:style>
  <w:style w:type="paragraph" w:styleId="931" w:customStyle="1">
    <w:name w:val="标题 11"/>
    <w:basedOn w:val="743"/>
    <w:next w:val="743"/>
    <w:uiPriority w:val="9"/>
    <w:qFormat/>
    <w:pPr>
      <w:keepLines/>
      <w:keepNext/>
      <w:spacing w:before="340" w:after="330" w:line="578" w:lineRule="auto"/>
      <w:outlineLvl w:val="0"/>
    </w:pPr>
    <w:rPr>
      <w:b/>
      <w:bCs/>
      <w:sz w:val="44"/>
      <w:szCs w:val="44"/>
    </w:rPr>
  </w:style>
  <w:style w:type="paragraph" w:styleId="932" w:customStyle="1">
    <w:name w:val="标题 21"/>
    <w:basedOn w:val="743"/>
    <w:next w:val="74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3" w:customStyle="1">
    <w:name w:val="标题 31"/>
    <w:basedOn w:val="743"/>
    <w:next w:val="743"/>
    <w:uiPriority w:val="0"/>
    <w:qFormat/>
    <w:pPr>
      <w:keepLines/>
      <w:keepNext/>
      <w:spacing w:before="260" w:after="260" w:line="416" w:lineRule="auto"/>
      <w:outlineLvl w:val="2"/>
    </w:pPr>
    <w:rPr>
      <w:b/>
      <w:bCs/>
      <w:sz w:val="32"/>
      <w:szCs w:val="32"/>
    </w:rPr>
  </w:style>
  <w:style w:type="character" w:styleId="934" w:customStyle="1">
    <w:name w:val="默认段落字体1"/>
    <w:uiPriority w:val="1"/>
    <w:unhideWhenUsed/>
    <w:qFormat/>
  </w:style>
  <w:style w:type="table" w:styleId="935" w:customStyle="1">
    <w:name w:val="普通表格1"/>
    <w:uiPriority w:val="99"/>
    <w:unhideWhenUsed/>
    <w:qFormat/>
    <w:tblPr>
      <w:tblCellMar>
        <w:left w:w="0" w:type="dxa"/>
        <w:top w:w="0" w:type="dxa"/>
        <w:right w:w="0" w:type="dxa"/>
        <w:bottom w:w="0" w:type="dxa"/>
      </w:tblCellMar>
    </w:tblPr>
  </w:style>
  <w:style w:type="paragraph" w:styleId="936" w:customStyle="1">
    <w:name w:val="正文文本缩进1"/>
    <w:basedOn w:val="743"/>
    <w:next w:val="937"/>
    <w:uiPriority w:val="0"/>
    <w:qFormat/>
    <w:pPr>
      <w:ind w:left="420"/>
      <w:spacing w:after="120"/>
    </w:pPr>
    <w:rPr>
      <w:rFonts w:ascii="等线" w:hAnsi="等线" w:eastAsia="等线"/>
    </w:rPr>
  </w:style>
  <w:style w:type="paragraph" w:styleId="937" w:customStyle="1">
    <w:name w:val="寄信人地址1"/>
    <w:basedOn w:val="743"/>
    <w:uiPriority w:val="99"/>
    <w:unhideWhenUsed/>
    <w:qFormat/>
    <w:rPr>
      <w:rFonts w:ascii="Arial" w:hAnsi="Arial"/>
    </w:rPr>
  </w:style>
  <w:style w:type="paragraph" w:styleId="938" w:customStyle="1">
    <w:name w:val="正文缩进1"/>
    <w:basedOn w:val="743"/>
    <w:uiPriority w:val="0"/>
    <w:unhideWhenUsed/>
    <w:qFormat/>
    <w:pPr>
      <w:ind w:firstLine="420"/>
    </w:pPr>
  </w:style>
  <w:style w:type="paragraph" w:styleId="939" w:customStyle="1">
    <w:name w:val="批注文字1"/>
    <w:basedOn w:val="743"/>
    <w:link w:val="940"/>
    <w:uiPriority w:val="0"/>
    <w:qFormat/>
    <w:pPr>
      <w:jc w:val="left"/>
    </w:pPr>
  </w:style>
  <w:style w:type="character" w:styleId="940" w:customStyle="1">
    <w:name w:val="批注文字 Char"/>
    <w:link w:val="939"/>
    <w:uiPriority w:val="0"/>
    <w:qFormat/>
    <w:rPr>
      <w:rFonts w:ascii="Calibri" w:hAnsi="Calibri"/>
      <w:sz w:val="21"/>
      <w:szCs w:val="22"/>
    </w:rPr>
  </w:style>
  <w:style w:type="paragraph" w:styleId="941" w:customStyle="1">
    <w:name w:val="正文文本11"/>
    <w:basedOn w:val="743"/>
    <w:next w:val="942"/>
    <w:uiPriority w:val="0"/>
    <w:qFormat/>
    <w:rPr>
      <w:rFonts w:ascii="楷体_GB2312" w:hAnsi="Arial" w:eastAsia="楷体_GB2312"/>
      <w:sz w:val="28"/>
      <w:szCs w:val="28"/>
    </w:rPr>
  </w:style>
  <w:style w:type="paragraph" w:styleId="942" w:customStyle="1">
    <w:name w:val="标题1"/>
    <w:basedOn w:val="743"/>
    <w:next w:val="743"/>
    <w:uiPriority w:val="0"/>
    <w:qFormat/>
    <w:pPr>
      <w:jc w:val="center"/>
      <w:spacing w:before="240" w:after="60" w:line="360" w:lineRule="auto"/>
      <w:outlineLvl w:val="0"/>
    </w:pPr>
    <w:rPr>
      <w:rFonts w:ascii="宋体" w:hAnsi="宋体"/>
      <w:b/>
      <w:bCs/>
      <w:sz w:val="32"/>
      <w:szCs w:val="32"/>
    </w:rPr>
  </w:style>
  <w:style w:type="paragraph" w:styleId="943" w:customStyle="1">
    <w:name w:val="纯文本1"/>
    <w:basedOn w:val="743"/>
    <w:uiPriority w:val="99"/>
    <w:qFormat/>
    <w:rPr>
      <w:rFonts w:ascii="宋体" w:hAnsi="Courier New"/>
      <w:sz w:val="20"/>
      <w:szCs w:val="21"/>
    </w:rPr>
  </w:style>
  <w:style w:type="paragraph" w:styleId="944" w:customStyle="1">
    <w:name w:val="正文文本缩进 21"/>
    <w:basedOn w:val="743"/>
    <w:uiPriority w:val="0"/>
    <w:qFormat/>
    <w:pPr>
      <w:ind w:left="640"/>
      <w:spacing w:after="120" w:line="480" w:lineRule="auto"/>
    </w:pPr>
    <w:rPr>
      <w:rFonts w:eastAsia="仿宋_GB2312"/>
      <w:sz w:val="32"/>
      <w:szCs w:val="28"/>
    </w:rPr>
  </w:style>
  <w:style w:type="paragraph" w:styleId="945" w:customStyle="1">
    <w:name w:val="批注框文本1"/>
    <w:basedOn w:val="743"/>
    <w:link w:val="946"/>
    <w:uiPriority w:val="0"/>
    <w:qFormat/>
    <w:rPr>
      <w:sz w:val="18"/>
      <w:szCs w:val="18"/>
    </w:rPr>
  </w:style>
  <w:style w:type="character" w:styleId="946" w:customStyle="1">
    <w:name w:val="批注框文本 Char"/>
    <w:link w:val="945"/>
    <w:uiPriority w:val="0"/>
    <w:qFormat/>
    <w:rPr>
      <w:sz w:val="18"/>
      <w:szCs w:val="18"/>
    </w:rPr>
  </w:style>
  <w:style w:type="paragraph" w:styleId="947" w:customStyle="1">
    <w:name w:val="页脚1"/>
    <w:basedOn w:val="743"/>
    <w:uiPriority w:val="99"/>
    <w:unhideWhenUsed/>
    <w:qFormat/>
    <w:pPr>
      <w:jc w:val="left"/>
      <w:tabs>
        <w:tab w:val="center" w:pos="4153" w:leader="none"/>
        <w:tab w:val="right" w:pos="8306" w:leader="none"/>
      </w:tabs>
    </w:pPr>
    <w:rPr>
      <w:sz w:val="18"/>
      <w:szCs w:val="18"/>
    </w:rPr>
  </w:style>
  <w:style w:type="paragraph" w:styleId="948" w:customStyle="1">
    <w:name w:val="页眉1"/>
    <w:basedOn w:val="74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9" w:customStyle="1">
    <w:name w:val="目录 11"/>
    <w:basedOn w:val="743"/>
    <w:next w:val="743"/>
    <w:uiPriority w:val="39"/>
    <w:unhideWhenUsed/>
    <w:qFormat/>
  </w:style>
  <w:style w:type="paragraph" w:styleId="950" w:customStyle="1">
    <w:name w:val="目录 21"/>
    <w:basedOn w:val="743"/>
    <w:next w:val="743"/>
    <w:uiPriority w:val="0"/>
    <w:qFormat/>
    <w:pPr>
      <w:ind w:left="420"/>
    </w:pPr>
  </w:style>
  <w:style w:type="paragraph" w:styleId="951" w:customStyle="1">
    <w:name w:val="正文文本 21"/>
    <w:basedOn w:val="743"/>
    <w:uiPriority w:val="0"/>
    <w:qFormat/>
    <w:pPr>
      <w:spacing w:after="120" w:line="480" w:lineRule="auto"/>
    </w:pPr>
  </w:style>
  <w:style w:type="paragraph" w:styleId="952" w:customStyle="1">
    <w:name w:val="信息标题1"/>
    <w:basedOn w:val="74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3" w:customStyle="1">
    <w:name w:val="普通(网站)1"/>
    <w:basedOn w:val="743"/>
    <w:uiPriority w:val="0"/>
    <w:qFormat/>
    <w:rPr>
      <w:rFonts w:ascii="Times New Roman" w:hAnsi="Times New Roman"/>
      <w:sz w:val="24"/>
    </w:rPr>
  </w:style>
  <w:style w:type="paragraph" w:styleId="954" w:customStyle="1">
    <w:name w:val="批注主题1"/>
    <w:basedOn w:val="939"/>
    <w:next w:val="939"/>
    <w:link w:val="955"/>
    <w:uiPriority w:val="0"/>
    <w:qFormat/>
    <w:rPr>
      <w:b/>
      <w:bCs/>
    </w:rPr>
  </w:style>
  <w:style w:type="character" w:styleId="955" w:customStyle="1">
    <w:name w:val="批注主题 Char"/>
    <w:link w:val="954"/>
    <w:uiPriority w:val="0"/>
    <w:qFormat/>
    <w:rPr>
      <w:rFonts w:ascii="Calibri" w:hAnsi="Calibri"/>
      <w:b/>
      <w:bCs/>
      <w:sz w:val="21"/>
      <w:szCs w:val="22"/>
    </w:rPr>
  </w:style>
  <w:style w:type="paragraph" w:styleId="956" w:customStyle="1">
    <w:name w:val="正文首行缩进 21"/>
    <w:basedOn w:val="936"/>
    <w:next w:val="743"/>
    <w:uiPriority w:val="0"/>
    <w:qFormat/>
    <w:pPr>
      <w:ind w:firstLine="420"/>
      <w:spacing w:before="100" w:beforeAutospacing="1"/>
    </w:pPr>
    <w:rPr>
      <w:rFonts w:ascii="Times New Roman" w:hAnsi="Times New Roman" w:eastAsia="宋体"/>
      <w:sz w:val="20"/>
      <w:szCs w:val="21"/>
    </w:rPr>
  </w:style>
  <w:style w:type="table" w:styleId="957" w:customStyle="1">
    <w:name w:val="网格型1"/>
    <w:basedOn w:val="935"/>
    <w:uiPriority w:val="0"/>
    <w:qFormat/>
    <w:pPr>
      <w:jc w:val="both"/>
      <w:widowControl w:val="off"/>
    </w:pPr>
    <w:tblPr/>
  </w:style>
  <w:style w:type="character" w:styleId="958" w:customStyle="1">
    <w:name w:val="要点1"/>
    <w:uiPriority w:val="0"/>
    <w:qFormat/>
    <w:rPr>
      <w:b/>
    </w:rPr>
  </w:style>
  <w:style w:type="character" w:styleId="959" w:customStyle="1">
    <w:name w:val="强调1"/>
    <w:uiPriority w:val="0"/>
    <w:qFormat/>
    <w:rPr>
      <w:i/>
    </w:rPr>
  </w:style>
  <w:style w:type="character" w:styleId="960" w:customStyle="1">
    <w:name w:val="超链接1"/>
    <w:uiPriority w:val="0"/>
    <w:qFormat/>
    <w:rPr>
      <w:color w:val="0000ff"/>
      <w:u w:val="single"/>
    </w:rPr>
  </w:style>
  <w:style w:type="character" w:styleId="961" w:customStyle="1">
    <w:name w:val="批注引用1"/>
    <w:uiPriority w:val="0"/>
    <w:qFormat/>
    <w:rPr>
      <w:sz w:val="21"/>
      <w:szCs w:val="21"/>
    </w:rPr>
  </w:style>
  <w:style w:type="paragraph" w:styleId="962" w:customStyle="1">
    <w:name w:val="正文（缩进）"/>
    <w:basedOn w:val="743"/>
    <w:uiPriority w:val="0"/>
    <w:qFormat/>
    <w:pPr>
      <w:ind w:firstLine="480"/>
      <w:spacing w:before="156" w:after="156"/>
    </w:pPr>
  </w:style>
  <w:style w:type="paragraph" w:styleId="963" w:customStyle="1">
    <w:name w:val="正文1"/>
    <w:basedOn w:val="743"/>
    <w:next w:val="964"/>
    <w:uiPriority w:val="0"/>
    <w:qFormat/>
    <w:pPr>
      <w:jc w:val="left"/>
      <w:spacing w:line="360" w:lineRule="atLeast"/>
    </w:pPr>
    <w:rPr>
      <w:rFonts w:ascii="宋体" w:cs="Arial"/>
      <w:sz w:val="24"/>
      <w:szCs w:val="20"/>
    </w:rPr>
  </w:style>
  <w:style w:type="paragraph" w:styleId="964" w:customStyle="1">
    <w:name w:val="正文文本1"/>
    <w:basedOn w:val="963"/>
    <w:next w:val="965"/>
    <w:uiPriority w:val="0"/>
    <w:qFormat/>
    <w:pPr>
      <w:spacing w:after="120"/>
    </w:pPr>
    <w:rPr>
      <w:lang w:eastAsia="en-US"/>
    </w:rPr>
  </w:style>
  <w:style w:type="paragraph" w:styleId="965" w:customStyle="1">
    <w:name w:val="一级条标题"/>
    <w:basedOn w:val="966"/>
    <w:next w:val="9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6" w:customStyle="1">
    <w:name w:val="章标题"/>
    <w:next w:val="7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7" w:customStyle="1">
    <w:name w:val="段"/>
    <w:basedOn w:val="963"/>
    <w:next w:val="743"/>
    <w:uiPriority w:val="0"/>
    <w:qFormat/>
    <w:pPr>
      <w:ind w:firstLine="200"/>
      <w:widowControl/>
    </w:pPr>
    <w:rPr>
      <w:sz w:val="20"/>
    </w:rPr>
  </w:style>
  <w:style w:type="paragraph" w:styleId="968" w:customStyle="1">
    <w:name w:val="普通正文"/>
    <w:basedOn w:val="743"/>
    <w:uiPriority w:val="0"/>
    <w:qFormat/>
    <w:pPr>
      <w:ind w:firstLine="480"/>
      <w:jc w:val="left"/>
      <w:spacing w:before="120" w:after="120" w:line="360" w:lineRule="auto"/>
    </w:pPr>
    <w:rPr>
      <w:rFonts w:ascii="Arial" w:hAnsi="Arial"/>
      <w:sz w:val="24"/>
      <w:szCs w:val="24"/>
    </w:rPr>
  </w:style>
  <w:style w:type="paragraph" w:styleId="969" w:customStyle="1">
    <w:name w:val="Char"/>
    <w:basedOn w:val="743"/>
    <w:uiPriority w:val="0"/>
    <w:qFormat/>
    <w:pPr>
      <w:ind w:firstLine="200"/>
      <w:tabs>
        <w:tab w:val="left" w:pos="360" w:leader="none"/>
      </w:tabs>
    </w:pPr>
    <w:rPr>
      <w:rFonts w:ascii="Times New Roman" w:hAnsi="Times New Roman"/>
      <w:sz w:val="28"/>
      <w:szCs w:val="30"/>
    </w:rPr>
  </w:style>
  <w:style w:type="paragraph" w:styleId="970" w:customStyle="1">
    <w:name w:val="Table Paragraph"/>
    <w:basedOn w:val="743"/>
    <w:uiPriority w:val="1"/>
    <w:qFormat/>
    <w:rPr>
      <w:rFonts w:ascii="Noto Sans CJK JP Regular" w:hAnsi="Noto Sans CJK JP Regular" w:eastAsia="Noto Sans CJK JP Regular" w:cs="Noto Sans CJK JP Regular"/>
    </w:rPr>
  </w:style>
  <w:style w:type="paragraph" w:styleId="971" w:customStyle="1">
    <w:name w:val="正文（1）"/>
    <w:basedOn w:val="743"/>
    <w:uiPriority w:val="0"/>
    <w:qFormat/>
    <w:pPr>
      <w:numPr>
        <w:ilvl w:val="0"/>
        <w:numId w:val="1"/>
      </w:numPr>
      <w:ind w:firstLine="200"/>
    </w:pPr>
    <w:rPr>
      <w:szCs w:val="24"/>
    </w:rPr>
  </w:style>
  <w:style w:type="paragraph" w:styleId="972" w:customStyle="1">
    <w:name w:val="朱-正文"/>
    <w:basedOn w:val="743"/>
    <w:uiPriority w:val="0"/>
    <w:qFormat/>
    <w:pPr>
      <w:ind w:firstLine="200"/>
    </w:pPr>
    <w:rPr>
      <w:rFonts w:ascii="Times New Roman"/>
      <w:color w:val="000000"/>
      <w:szCs w:val="24"/>
      <w:lang w:val="en-GB"/>
    </w:rPr>
  </w:style>
  <w:style w:type="paragraph" w:styleId="973" w:customStyle="1">
    <w:name w:val="GP正文(首行缩进)"/>
    <w:basedOn w:val="743"/>
    <w:uiPriority w:val="0"/>
    <w:qFormat/>
    <w:pPr>
      <w:ind w:firstLine="480"/>
      <w:jc w:val="left"/>
    </w:pPr>
    <w:rPr>
      <w:rFonts w:ascii="Times New Roman" w:hAnsi="宋体"/>
      <w:sz w:val="24"/>
      <w:szCs w:val="24"/>
    </w:rPr>
  </w:style>
  <w:style w:type="character" w:styleId="974" w:customStyle="1">
    <w:name w:val="font71"/>
    <w:uiPriority w:val="0"/>
    <w:qFormat/>
    <w:rPr>
      <w:rFonts w:hint="eastAsia" w:ascii="宋体" w:hAnsi="宋体" w:eastAsia="宋体" w:cs="宋体"/>
      <w:color w:val="ff0000"/>
      <w:sz w:val="21"/>
      <w:szCs w:val="21"/>
      <w:u w:val="none"/>
    </w:rPr>
  </w:style>
  <w:style w:type="character" w:styleId="975" w:customStyle="1">
    <w:name w:val="font41"/>
    <w:uiPriority w:val="0"/>
    <w:qFormat/>
    <w:rPr>
      <w:rFonts w:hint="eastAsia" w:ascii="宋体" w:hAnsi="宋体" w:eastAsia="宋体" w:cs="宋体"/>
      <w:color w:val="000000"/>
      <w:sz w:val="21"/>
      <w:szCs w:val="21"/>
      <w:u w:val="none"/>
    </w:rPr>
  </w:style>
  <w:style w:type="paragraph" w:styleId="976" w:customStyle="1">
    <w:name w:val="列出段落"/>
    <w:basedOn w:val="743"/>
    <w:uiPriority w:val="0"/>
    <w:qFormat/>
    <w:pPr>
      <w:ind w:firstLine="420"/>
    </w:pPr>
  </w:style>
  <w:style w:type="paragraph" w:styleId="977" w:customStyle="1">
    <w:name w:val="列出段落2"/>
    <w:basedOn w:val="743"/>
    <w:uiPriority w:val="34"/>
    <w:qFormat/>
    <w:pPr>
      <w:ind w:firstLine="420"/>
    </w:pPr>
    <w:rPr>
      <w:rFonts w:ascii="宋体"/>
      <w:color w:val="404040"/>
    </w:rPr>
  </w:style>
  <w:style w:type="paragraph" w:styleId="978" w:customStyle="1">
    <w:name w:val="列表段落1"/>
    <w:basedOn w:val="743"/>
    <w:uiPriority w:val="0"/>
    <w:qFormat/>
    <w:pPr>
      <w:ind w:firstLine="200"/>
    </w:pPr>
    <w:rPr>
      <w:rFonts w:cs="宋体"/>
    </w:rPr>
  </w:style>
  <w:style w:type="character" w:styleId="979" w:customStyle="1">
    <w:name w:val="font51"/>
    <w:uiPriority w:val="0"/>
    <w:qFormat/>
    <w:rPr>
      <w:rFonts w:hint="eastAsia" w:ascii="宋体" w:hAnsi="宋体" w:eastAsia="宋体" w:cs="宋体"/>
      <w:color w:val="000000"/>
      <w:sz w:val="24"/>
      <w:szCs w:val="24"/>
      <w:u w:val="none"/>
      <w:vertAlign w:val="subscript"/>
    </w:rPr>
  </w:style>
  <w:style w:type="character" w:styleId="980" w:customStyle="1">
    <w:name w:val="font61"/>
    <w:uiPriority w:val="0"/>
    <w:qFormat/>
    <w:rPr>
      <w:rFonts w:hint="eastAsia" w:ascii="宋体" w:hAnsi="宋体" w:eastAsia="宋体" w:cs="宋体"/>
      <w:color w:val="000000"/>
      <w:sz w:val="24"/>
      <w:szCs w:val="24"/>
      <w:u w:val="none"/>
    </w:rPr>
  </w:style>
  <w:style w:type="character" w:styleId="981" w:customStyle="1">
    <w:name w:val="font01"/>
    <w:uiPriority w:val="0"/>
    <w:qFormat/>
    <w:rPr>
      <w:rFonts w:hint="eastAsia" w:ascii="宋体" w:hAnsi="宋体" w:eastAsia="宋体" w:cs="宋体"/>
      <w:color w:val="000000"/>
      <w:sz w:val="24"/>
      <w:szCs w:val="24"/>
      <w:u w:val="none"/>
    </w:rPr>
  </w:style>
  <w:style w:type="character" w:styleId="982" w:customStyle="1">
    <w:name w:val="font81"/>
    <w:uiPriority w:val="0"/>
    <w:qFormat/>
    <w:rPr>
      <w:rFonts w:ascii="微软雅黑" w:hAnsi="微软雅黑" w:eastAsia="微软雅黑" w:cs="微软雅黑"/>
      <w:color w:val="000000"/>
      <w:sz w:val="24"/>
      <w:szCs w:val="24"/>
      <w:u w:val="none"/>
    </w:rPr>
  </w:style>
  <w:style w:type="character" w:styleId="983" w:customStyle="1">
    <w:name w:val="font91"/>
    <w:uiPriority w:val="0"/>
    <w:qFormat/>
    <w:rPr>
      <w:rFonts w:ascii="Segoe UI Symbol" w:hAnsi="Segoe UI Symbol" w:eastAsia="Segoe UI Symbol" w:cs="Segoe UI Symbol"/>
      <w:color w:val="000000"/>
      <w:sz w:val="24"/>
      <w:szCs w:val="24"/>
      <w:u w:val="none"/>
    </w:rPr>
  </w:style>
  <w:style w:type="character" w:styleId="984" w:customStyle="1">
    <w:name w:val="font101"/>
    <w:uiPriority w:val="0"/>
    <w:qFormat/>
    <w:rPr>
      <w:rFonts w:ascii="Calibri" w:hAnsi="Calibri" w:cs="Calibri"/>
      <w:color w:val="000000"/>
      <w:sz w:val="24"/>
      <w:szCs w:val="24"/>
      <w:u w:val="none"/>
    </w:rPr>
  </w:style>
  <w:style w:type="paragraph" w:styleId="985" w:customStyle="1">
    <w:name w:val="TableItem"/>
    <w:uiPriority w:val="0"/>
    <w:qFormat/>
    <w:rPr>
      <w:rFonts w:ascii="Verdana" w:hAnsi="Verdana" w:eastAsia="宋体" w:cs="Verdana"/>
      <w:b/>
      <w:bCs/>
      <w:color w:val="538135"/>
      <w:spacing w:val="-10"/>
      <w:sz w:val="16"/>
      <w:szCs w:val="28"/>
      <w:lang w:val="en-US" w:eastAsia="zh-CN" w:bidi="ar-SA"/>
    </w:rPr>
  </w:style>
  <w:style w:type="paragraph" w:styleId="986" w:customStyle="1">
    <w:name w:val="TableEmphasis"/>
    <w:basedOn w:val="743"/>
    <w:uiPriority w:val="0"/>
    <w:qFormat/>
    <w:rPr>
      <w:rFonts w:ascii="Times New Roman" w:hAnsi="Times New Roman" w:eastAsia="Times New Roman"/>
      <w:b/>
      <w:bCs/>
      <w:color w:val="3333ff"/>
      <w:sz w:val="16"/>
      <w:szCs w:val="18"/>
    </w:rPr>
  </w:style>
  <w:style w:type="paragraph" w:styleId="987" w:customStyle="1">
    <w:name w:val="修订1"/>
    <w:uiPriority w:val="99"/>
    <w:unhideWhenUsed/>
    <w:qFormat/>
    <w:rPr>
      <w:rFonts w:ascii="Calibri" w:hAnsi="Calibri" w:eastAsia="宋体" w:cs="Times New Roman"/>
      <w:sz w:val="21"/>
      <w:szCs w:val="22"/>
      <w:lang w:val="en-US" w:eastAsia="zh-CN" w:bidi="ar-SA"/>
    </w:rPr>
  </w:style>
  <w:style w:type="paragraph" w:styleId="988" w:customStyle="1">
    <w:name w:val="修订2"/>
    <w:uiPriority w:val="99"/>
    <w:semiHidden/>
    <w:qFormat/>
    <w:rPr>
      <w:rFonts w:ascii="Calibri" w:hAnsi="Calibri" w:eastAsia="宋体" w:cs="Times New Roman"/>
      <w:sz w:val="21"/>
      <w:szCs w:val="22"/>
      <w:lang w:val="en-US" w:eastAsia="zh-CN" w:bidi="ar-SA"/>
    </w:rPr>
  </w:style>
  <w:style w:type="character" w:styleId="989" w:customStyle="1">
    <w:name w:val="font11"/>
    <w:uiPriority w:val="0"/>
    <w:qFormat/>
    <w:rPr>
      <w:rFonts w:hint="eastAsia" w:ascii="宋体" w:hAnsi="宋体" w:eastAsia="宋体" w:cs="宋体"/>
      <w:color w:val="000000"/>
      <w:sz w:val="24"/>
      <w:szCs w:val="24"/>
      <w:u w:val="none"/>
    </w:rPr>
  </w:style>
  <w:style w:type="character" w:styleId="990" w:customStyle="1">
    <w:name w:val="font21"/>
    <w:uiPriority w:val="0"/>
    <w:qFormat/>
    <w:rPr>
      <w:rFonts w:ascii="Segoe UI Symbol" w:hAnsi="Segoe UI Symbol" w:eastAsia="Segoe UI Symbol" w:cs="Segoe UI Symbol"/>
      <w:color w:val="000000"/>
      <w:sz w:val="24"/>
      <w:szCs w:val="24"/>
      <w:u w:val="none"/>
    </w:rPr>
  </w:style>
  <w:style w:type="character" w:styleId="991" w:customStyle="1">
    <w:name w:val="NormalCharacter1"/>
    <w:uiPriority w:val="0"/>
    <w:semiHidden/>
    <w:qFormat/>
  </w:style>
  <w:style w:type="character" w:styleId="992" w:customStyle="1">
    <w:name w:val="font31"/>
    <w:uiPriority w:val="0"/>
    <w:qFormat/>
    <w:rPr>
      <w:rFonts w:hint="eastAsia" w:ascii="宋体" w:hAnsi="宋体" w:eastAsia="宋体" w:cs="宋体"/>
      <w:color w:val="000000"/>
      <w:sz w:val="21"/>
      <w:szCs w:val="21"/>
      <w:u w:val="none"/>
    </w:rPr>
  </w:style>
  <w:style w:type="paragraph" w:styleId="993" w:customStyle="1">
    <w:name w:val="无间隔1"/>
    <w:uiPriority w:val="1"/>
    <w:qFormat/>
    <w:rPr>
      <w:rFonts w:ascii="Times New Roman" w:hAnsi="Times New Roman" w:eastAsia="宋体" w:cs="Times New Roman"/>
      <w:lang w:val="en-US" w:eastAsia="zh-CN" w:bidi="ar-SA"/>
    </w:rPr>
  </w:style>
  <w:style w:type="paragraph" w:styleId="994" w:customStyle="1">
    <w:name w:val="索引 41"/>
    <w:basedOn w:val="743"/>
    <w:next w:val="743"/>
    <w:uiPriority w:val="99"/>
    <w:unhideWhenUsed/>
    <w:qFormat/>
    <w:pPr>
      <w:ind w:left="600"/>
    </w:pPr>
    <w:rPr>
      <w:rFonts w:ascii="Verdana" w:hAnsi="Verdana" w:eastAsia="微软雅黑"/>
      <w:szCs w:val="20"/>
    </w:rPr>
  </w:style>
  <w:style w:type="paragraph" w:styleId="995" w:customStyle="1">
    <w:name w:val="首行缩进"/>
    <w:basedOn w:val="743"/>
    <w:uiPriority w:val="0"/>
    <w:qFormat/>
    <w:pPr>
      <w:ind w:firstLine="420"/>
      <w:spacing w:line="360" w:lineRule="auto"/>
    </w:p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阮玉婷</cp:lastModifiedBy>
  <cp:revision>40</cp:revision>
  <dcterms:created xsi:type="dcterms:W3CDTF">2024-11-07T06:15:00Z</dcterms:created>
  <dcterms:modified xsi:type="dcterms:W3CDTF">2025-11-18T13:20:34Z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1D6EB5C3EA474736BDAE2C7DC791E699_13</vt:lpwstr>
  </property>
  <property fmtid="{D5CDD505-2E9C-101B-9397-08002B2CF9AE}" pid="4" name="KSOTemplateDocerSaveRecord">
    <vt:lpwstr>eyJoZGlkIjoiMTY0MDU0ZTNhNjIyODJlZjM0NjA3YWYxYTMxMWQ0ZjMiLCJ1c2VySWQiOiIxOTI0NjExMTkifQ==</vt:lpwstr>
  </property>
</Properties>
</file>